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27EF" w14:textId="1671DBC4" w:rsidR="002B78F8" w:rsidRPr="002B78F8" w:rsidRDefault="002B78F8" w:rsidP="002B78F8">
      <w:pPr>
        <w:spacing w:after="0" w:line="240" w:lineRule="auto"/>
        <w:jc w:val="center"/>
        <w:rPr>
          <w:rFonts w:ascii="Calibri" w:eastAsia="Times New Roman" w:hAnsi="Calibri" w:cs="Calibri"/>
          <w:b/>
          <w:bCs/>
          <w:kern w:val="0"/>
          <w:sz w:val="36"/>
          <w:szCs w:val="36"/>
          <w14:ligatures w14:val="none"/>
        </w:rPr>
      </w:pPr>
      <w:r w:rsidRPr="002B78F8">
        <w:rPr>
          <w:rFonts w:ascii="Calibri" w:eastAsia="Times New Roman" w:hAnsi="Calibri" w:cs="Calibri"/>
          <w:b/>
          <w:bCs/>
          <w:kern w:val="0"/>
          <w:sz w:val="36"/>
          <w:szCs w:val="36"/>
          <w14:ligatures w14:val="none"/>
        </w:rPr>
        <w:t xml:space="preserve">Groupe </w:t>
      </w:r>
      <w:r>
        <w:rPr>
          <w:rFonts w:ascii="Calibri" w:eastAsia="Times New Roman" w:hAnsi="Calibri" w:cs="Calibri"/>
          <w:b/>
          <w:bCs/>
          <w:kern w:val="0"/>
          <w:sz w:val="36"/>
          <w:szCs w:val="36"/>
          <w14:ligatures w14:val="none"/>
        </w:rPr>
        <w:t xml:space="preserve">VRV 5-S </w:t>
      </w:r>
      <w:r w:rsidR="00416DAF">
        <w:rPr>
          <w:rFonts w:ascii="Calibri" w:eastAsia="Times New Roman" w:hAnsi="Calibri" w:cs="Calibri"/>
          <w:b/>
          <w:bCs/>
          <w:kern w:val="0"/>
          <w:sz w:val="36"/>
          <w:szCs w:val="36"/>
          <w14:ligatures w14:val="none"/>
        </w:rPr>
        <w:t>SMALL</w:t>
      </w:r>
      <w:r w:rsidRPr="002B78F8">
        <w:rPr>
          <w:rFonts w:ascii="Calibri" w:eastAsia="Times New Roman" w:hAnsi="Calibri" w:cs="Calibri"/>
          <w:b/>
          <w:bCs/>
          <w:kern w:val="0"/>
          <w:sz w:val="36"/>
          <w:szCs w:val="36"/>
          <w14:ligatures w14:val="none"/>
        </w:rPr>
        <w:t xml:space="preserve"> Réversible</w:t>
      </w:r>
    </w:p>
    <w:p w14:paraId="1C382961" w14:textId="04FE502F" w:rsidR="002B78F8" w:rsidRPr="002B78F8" w:rsidRDefault="002B78F8" w:rsidP="002B78F8">
      <w:pPr>
        <w:spacing w:after="0" w:line="240" w:lineRule="auto"/>
        <w:jc w:val="center"/>
        <w:rPr>
          <w:rFonts w:ascii="Calibri" w:eastAsia="Times New Roman" w:hAnsi="Calibri" w:cs="Calibri"/>
          <w:b/>
          <w:bCs/>
          <w:kern w:val="0"/>
          <w:sz w:val="36"/>
          <w:szCs w:val="36"/>
          <w14:ligatures w14:val="none"/>
        </w:rPr>
      </w:pPr>
      <w:r w:rsidRPr="002B78F8">
        <w:rPr>
          <w:rFonts w:ascii="Calibri" w:eastAsia="Times New Roman" w:hAnsi="Calibri" w:cs="Calibri"/>
          <w:b/>
          <w:bCs/>
          <w:kern w:val="0"/>
          <w:sz w:val="36"/>
          <w:szCs w:val="36"/>
          <w14:ligatures w14:val="none"/>
        </w:rPr>
        <w:t xml:space="preserve">R32 - </w:t>
      </w:r>
      <w:r>
        <w:rPr>
          <w:rFonts w:ascii="Calibri" w:eastAsia="Times New Roman" w:hAnsi="Calibri" w:cs="Calibri"/>
          <w:b/>
          <w:bCs/>
          <w:kern w:val="0"/>
          <w:sz w:val="36"/>
          <w:szCs w:val="36"/>
          <w14:ligatures w14:val="none"/>
        </w:rPr>
        <w:t>RXYSA</w:t>
      </w:r>
      <w:r w:rsidRPr="002B78F8">
        <w:rPr>
          <w:rFonts w:ascii="Calibri" w:eastAsia="Times New Roman" w:hAnsi="Calibri" w:cs="Calibri"/>
          <w:b/>
          <w:bCs/>
          <w:kern w:val="0"/>
          <w:sz w:val="36"/>
          <w:szCs w:val="36"/>
          <w14:ligatures w14:val="none"/>
        </w:rPr>
        <w:br/>
        <w:t>pour raccordement sur Kit Détente Directe pour CTA</w:t>
      </w:r>
    </w:p>
    <w:p w14:paraId="4018A11F" w14:textId="77777777" w:rsidR="002B78F8" w:rsidRPr="002B78F8" w:rsidRDefault="002B78F8" w:rsidP="002B78F8">
      <w:pPr>
        <w:spacing w:after="0" w:line="240" w:lineRule="auto"/>
        <w:jc w:val="center"/>
        <w:rPr>
          <w:rFonts w:ascii="Calibri" w:eastAsia="Times New Roman" w:hAnsi="Calibri" w:cs="Calibri"/>
          <w:kern w:val="0"/>
          <w14:ligatures w14:val="none"/>
        </w:rPr>
      </w:pPr>
      <w:r w:rsidRPr="002B78F8">
        <w:rPr>
          <w:rFonts w:ascii="Calibri" w:eastAsia="Times New Roman" w:hAnsi="Calibri" w:cs="Calibri"/>
          <w:b/>
          <w:bCs/>
          <w:color w:val="000000"/>
          <w:kern w:val="0"/>
          <w:sz w:val="36"/>
          <w:szCs w:val="36"/>
          <w14:ligatures w14:val="none"/>
        </w:rPr>
        <w:t> </w:t>
      </w:r>
    </w:p>
    <w:p w14:paraId="0BE9ED1E"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1. Généralités</w:t>
      </w:r>
    </w:p>
    <w:p w14:paraId="283A5CFC"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620DF52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La climatisation se fera par un système à débit de réfrigérant variable utilisant un fluide frigorigène pure à faible impact CO² - R32, permettant le rafraîchissement et le chauffage des locaux.</w:t>
      </w:r>
    </w:p>
    <w:p w14:paraId="4C82CF8E"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L'installation sera composée des éléments suivants faisant l'objet d'un descriptif détaillé dans la suite de ce document :</w:t>
      </w:r>
    </w:p>
    <w:p w14:paraId="4505A251" w14:textId="4C048F39"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 xml:space="preserve">Groupe </w:t>
      </w:r>
      <w:r>
        <w:rPr>
          <w:rFonts w:ascii="Calibri" w:eastAsia="Times New Roman" w:hAnsi="Calibri" w:cs="Calibri"/>
          <w:kern w:val="0"/>
          <w:sz w:val="20"/>
          <w:szCs w:val="20"/>
          <w14:ligatures w14:val="none"/>
        </w:rPr>
        <w:t>VRV 5-S compact</w:t>
      </w:r>
      <w:r w:rsidRPr="002B78F8">
        <w:rPr>
          <w:rFonts w:ascii="Calibri" w:eastAsia="Times New Roman" w:hAnsi="Calibri" w:cs="Calibri"/>
          <w:kern w:val="0"/>
          <w:sz w:val="20"/>
          <w:szCs w:val="20"/>
          <w14:ligatures w14:val="none"/>
        </w:rPr>
        <w:t xml:space="preserve"> réversible au R32, équipé d'un compresseur contrôlé par Inverter, qui permettra une modulation de la puissance du groupe en fonction des conditions de température de l'air neuf.</w:t>
      </w:r>
    </w:p>
    <w:p w14:paraId="0430DB51"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Centrale de traitement d'air équipée d'une batterie à détente directe au R32</w:t>
      </w:r>
    </w:p>
    <w:p w14:paraId="615A5664"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Kit de boitier détendeurs</w:t>
      </w:r>
    </w:p>
    <w:p w14:paraId="61B11B5C"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Boîtier de contrôle permettant, selon le choix, une régulation selon divers paramètres de température: soufflage, mélange , ambiance, évaporation.</w:t>
      </w:r>
    </w:p>
    <w:p w14:paraId="1B5EB93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1BF41E4B"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Le système devra être capable d’adapter les températures d’évaporation et de condensation du réfrigérant en fonction des conditions extérieures afin de réduire les consommations d’énergie et améliorer le confort des occupants.</w:t>
      </w:r>
    </w:p>
    <w:p w14:paraId="7F3AD64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0F3B09A8" w14:textId="6312274F"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La compacité de l'unité extérieure, facilitera le transport et la mise en œuvre de celle-ci et assurera également une discrétion optimale de l'installation.</w:t>
      </w:r>
    </w:p>
    <w:p w14:paraId="66EE3DC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5CC513F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Afin de réduire l'impact environnemental des équipements, les appareils installés devront respecter la directive "Limitation des substances dangereuses dans les équipements électriques ou électroniques" (Directive RoHS).</w:t>
      </w:r>
    </w:p>
    <w:p w14:paraId="0F9CFE8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14DD08D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L'utilisation du réfrigérant R-32, ayant un faible GWP (Potentiel de Réchauffement Global de 675), limitera l'impact environnemental des équipements, et garantira une efficacité optimale à charge partielle et totale.</w:t>
      </w:r>
    </w:p>
    <w:p w14:paraId="7EA8CF62"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2D28D40B" w14:textId="0032D7D1"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Le système sera conforme à la norme produit EN-60 335-2-40</w:t>
      </w:r>
      <w:r>
        <w:rPr>
          <w:rFonts w:ascii="Calibri" w:eastAsia="Times New Roman" w:hAnsi="Calibri" w:cs="Calibri"/>
          <w:kern w:val="0"/>
          <w:sz w:val="20"/>
          <w:szCs w:val="20"/>
          <w14:ligatures w14:val="none"/>
        </w:rPr>
        <w:t>.</w:t>
      </w:r>
    </w:p>
    <w:p w14:paraId="125B8423"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5BE8F9E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2. Matériel</w:t>
      </w:r>
    </w:p>
    <w:p w14:paraId="13C7B57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6F893F9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7"/>
          <w:szCs w:val="27"/>
          <w14:ligatures w14:val="none"/>
        </w:rPr>
        <w:t>2.1 Unités extérieures</w:t>
      </w:r>
    </w:p>
    <w:p w14:paraId="4464A8B5" w14:textId="147D1369"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r w:rsidRPr="002B78F8">
        <w:rPr>
          <w:rFonts w:ascii="Calibri" w:eastAsia="Times New Roman" w:hAnsi="Calibri" w:cs="Calibri"/>
          <w:color w:val="000000"/>
          <w:kern w:val="0"/>
          <w:sz w:val="20"/>
          <w:szCs w:val="20"/>
          <w14:ligatures w14:val="none"/>
        </w:rPr>
        <w:t> </w:t>
      </w:r>
    </w:p>
    <w:p w14:paraId="775DB052" w14:textId="77777777" w:rsidR="004E28FA" w:rsidRPr="004E28FA" w:rsidRDefault="004E28FA" w:rsidP="004E28FA">
      <w:p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Les unités extérieures seront de type RXYSA 8, 10 et 12 A de marque DAIKIN, assemblées, testées et chargées en usine en fluide R32.</w:t>
      </w:r>
      <w:r w:rsidRPr="004E28FA">
        <w:rPr>
          <w:rFonts w:ascii="Calibri" w:eastAsia="Times New Roman" w:hAnsi="Calibri" w:cs="Calibri"/>
          <w:color w:val="000000"/>
          <w:kern w:val="0"/>
          <w:sz w:val="20"/>
          <w:szCs w:val="20"/>
          <w14:ligatures w14:val="none"/>
        </w:rPr>
        <w:br/>
        <w:t>Les valeurs de performance énergétique seront certifiées Eurovent pour les tailles 8 à 12.</w:t>
      </w:r>
    </w:p>
    <w:p w14:paraId="60423126" w14:textId="77777777" w:rsidR="004E28FA" w:rsidRPr="004E28FA" w:rsidRDefault="004E28FA" w:rsidP="004E28FA">
      <w:p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 </w:t>
      </w:r>
    </w:p>
    <w:p w14:paraId="66646647" w14:textId="77777777" w:rsidR="004E28FA" w:rsidRPr="004E28FA" w:rsidRDefault="004E28FA" w:rsidP="004E28FA">
      <w:p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Chaque unité extérieure comportera les éléments principaux suivants :</w:t>
      </w:r>
    </w:p>
    <w:p w14:paraId="34B4AC14" w14:textId="77777777" w:rsidR="004E28FA" w:rsidRPr="004E28FA" w:rsidRDefault="004E28FA" w:rsidP="004E28FA">
      <w:pPr>
        <w:numPr>
          <w:ilvl w:val="0"/>
          <w:numId w:val="2"/>
        </w:num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Carrosserie en tôle galvanisée revêtue d'une résine polypropylène imperméable</w:t>
      </w:r>
    </w:p>
    <w:p w14:paraId="123A3F87" w14:textId="77777777" w:rsidR="004E28FA" w:rsidRPr="004E28FA" w:rsidRDefault="004E28FA" w:rsidP="004E28FA">
      <w:pPr>
        <w:numPr>
          <w:ilvl w:val="0"/>
          <w:numId w:val="2"/>
        </w:num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Echangeur fluide frigorigène / air en cuivre et ailettes aluminium revêtues d'un film de résine anticorrosion</w:t>
      </w:r>
    </w:p>
    <w:p w14:paraId="5FA3E3BA" w14:textId="77777777" w:rsidR="004E28FA" w:rsidRPr="004E28FA" w:rsidRDefault="004E28FA" w:rsidP="004E28FA">
      <w:pPr>
        <w:numPr>
          <w:ilvl w:val="0"/>
          <w:numId w:val="2"/>
        </w:num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Moto-Ventilateurs de type hélicoïdal à plusieurs vitesses disposant de 35 Pa de pression statique externe</w:t>
      </w:r>
    </w:p>
    <w:p w14:paraId="2D642D90" w14:textId="77777777" w:rsidR="004E28FA" w:rsidRPr="004E28FA" w:rsidRDefault="004E28FA" w:rsidP="004E28FA">
      <w:pPr>
        <w:numPr>
          <w:ilvl w:val="0"/>
          <w:numId w:val="2"/>
        </w:num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Compresseurs Inverter de type spiro-orbital de fabrication DAIKIN équipés de séparateurs d'huile avec équilibrage du niveau entre compresseurs </w:t>
      </w:r>
    </w:p>
    <w:p w14:paraId="7734C2BA" w14:textId="77777777" w:rsidR="004E28FA" w:rsidRPr="004E28FA" w:rsidRDefault="004E28FA" w:rsidP="004E28FA">
      <w:pPr>
        <w:numPr>
          <w:ilvl w:val="0"/>
          <w:numId w:val="2"/>
        </w:num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Ensemble de platines électroniques permettant le contrôle du système et la communication avec les unités intérieures</w:t>
      </w:r>
    </w:p>
    <w:p w14:paraId="3E1F5C78" w14:textId="77777777" w:rsidR="004E28FA" w:rsidRPr="004E28FA" w:rsidRDefault="004E28FA" w:rsidP="004E28FA">
      <w:pPr>
        <w:numPr>
          <w:ilvl w:val="0"/>
          <w:numId w:val="2"/>
        </w:num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lastRenderedPageBreak/>
        <w:t>Ensemble de vannes d'arrêt frigorifiques pour le raccordement des canalisations</w:t>
      </w:r>
    </w:p>
    <w:p w14:paraId="542B4E05" w14:textId="77777777" w:rsidR="004E28FA" w:rsidRPr="004E28FA" w:rsidRDefault="004E28FA" w:rsidP="004E28FA">
      <w:pPr>
        <w:numPr>
          <w:ilvl w:val="0"/>
          <w:numId w:val="2"/>
        </w:numPr>
        <w:spacing w:after="0" w:line="240" w:lineRule="auto"/>
        <w:rPr>
          <w:rFonts w:ascii="Calibri" w:eastAsia="Times New Roman" w:hAnsi="Calibri" w:cs="Calibri"/>
          <w:color w:val="000000"/>
          <w:kern w:val="0"/>
          <w14:ligatures w14:val="none"/>
        </w:rPr>
      </w:pPr>
      <w:r w:rsidRPr="004E28FA">
        <w:rPr>
          <w:rFonts w:ascii="Calibri" w:eastAsia="Times New Roman" w:hAnsi="Calibri" w:cs="Calibri"/>
          <w:color w:val="000000"/>
          <w:kern w:val="0"/>
          <w:sz w:val="20"/>
          <w:szCs w:val="20"/>
          <w14:ligatures w14:val="none"/>
        </w:rPr>
        <w:t>Afficheur digital pour faciliter les opérations de maintenance</w:t>
      </w:r>
    </w:p>
    <w:p w14:paraId="7B29C6E0" w14:textId="77777777" w:rsidR="002B78F8" w:rsidRPr="002B78F8" w:rsidRDefault="002B78F8" w:rsidP="002B78F8">
      <w:pPr>
        <w:numPr>
          <w:ilvl w:val="0"/>
          <w:numId w:val="2"/>
        </w:num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Un contact sec pour renvoyer les informations aux éventuels systèmes de sécurités externes.</w:t>
      </w:r>
    </w:p>
    <w:p w14:paraId="0CBF7B4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14:ligatures w14:val="none"/>
        </w:rPr>
        <w:t> </w:t>
      </w:r>
    </w:p>
    <w:p w14:paraId="7DA35AF8"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Les unités extérieures devront respecter les caractéristiques techniques suivantes :</w:t>
      </w:r>
    </w:p>
    <w:p w14:paraId="7EE5D6E6"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52722AAB" w14:textId="6A1226E0" w:rsidR="008544C0" w:rsidRPr="008544C0" w:rsidRDefault="00D941F4" w:rsidP="008544C0">
      <w:pPr>
        <w:spacing w:after="0" w:line="240" w:lineRule="auto"/>
        <w:jc w:val="center"/>
        <w:rPr>
          <w:rFonts w:ascii="Calibri" w:eastAsia="Times New Roman" w:hAnsi="Calibri" w:cs="Calibri"/>
          <w:color w:val="000000"/>
          <w:kern w:val="0"/>
          <w:lang w:val="en-GB"/>
          <w14:ligatures w14:val="none"/>
        </w:rPr>
      </w:pPr>
      <w:r w:rsidRPr="00D941F4">
        <w:rPr>
          <w:rFonts w:ascii="Calibri" w:eastAsia="Times New Roman" w:hAnsi="Calibri" w:cs="Calibri"/>
          <w:color w:val="000000"/>
          <w:kern w:val="0"/>
          <w14:ligatures w14:val="none"/>
        </w:rPr>
        <w:drawing>
          <wp:inline distT="0" distB="0" distL="0" distR="0" wp14:anchorId="556A5922" wp14:editId="49F602BF">
            <wp:extent cx="1107155" cy="1744188"/>
            <wp:effectExtent l="0" t="0" r="0" b="8890"/>
            <wp:docPr id="15" name="Image 14" descr="Une image contenant fan, Ventilateur mécanique, Électroménager, Ventilateur&#10;&#10;Le contenu généré par l’IA peut être incorrect.">
              <a:extLst xmlns:a="http://schemas.openxmlformats.org/drawingml/2006/main">
                <a:ext uri="{FF2B5EF4-FFF2-40B4-BE49-F238E27FC236}">
                  <a16:creationId xmlns:a16="http://schemas.microsoft.com/office/drawing/2014/main" id="{0C301A03-5A68-85F6-A31C-52FFBDE1F6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4" descr="Une image contenant fan, Ventilateur mécanique, Électroménager, Ventilateur&#10;&#10;Le contenu généré par l’IA peut être incorrect.">
                      <a:extLst>
                        <a:ext uri="{FF2B5EF4-FFF2-40B4-BE49-F238E27FC236}">
                          <a16:creationId xmlns:a16="http://schemas.microsoft.com/office/drawing/2014/main" id="{0C301A03-5A68-85F6-A31C-52FFBDE1F61B}"/>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12094" cy="1751968"/>
                    </a:xfrm>
                    <a:prstGeom prst="rect">
                      <a:avLst/>
                    </a:prstGeom>
                  </pic:spPr>
                </pic:pic>
              </a:graphicData>
            </a:graphic>
          </wp:inline>
        </w:drawing>
      </w:r>
    </w:p>
    <w:p w14:paraId="00DBB85E" w14:textId="77777777" w:rsidR="008544C0" w:rsidRPr="008544C0" w:rsidRDefault="008544C0" w:rsidP="008544C0">
      <w:pPr>
        <w:spacing w:after="0" w:line="240" w:lineRule="auto"/>
        <w:rPr>
          <w:rFonts w:ascii="Calibri" w:eastAsia="Times New Roman" w:hAnsi="Calibri" w:cs="Calibri"/>
          <w:color w:val="000000"/>
          <w:kern w:val="0"/>
          <w:lang w:val="en-GB"/>
          <w14:ligatures w14:val="none"/>
        </w:rPr>
      </w:pPr>
      <w:r w:rsidRPr="008544C0">
        <w:rPr>
          <w:rFonts w:ascii="Calibri" w:eastAsia="Times New Roman" w:hAnsi="Calibri" w:cs="Calibri"/>
          <w:b/>
          <w:bCs/>
          <w:color w:val="000000"/>
          <w:kern w:val="0"/>
          <w:sz w:val="20"/>
          <w:szCs w:val="20"/>
          <w14:ligatures w14:val="none"/>
        </w:rPr>
        <w:t> </w:t>
      </w:r>
    </w:p>
    <w:tbl>
      <w:tblPr>
        <w:tblW w:w="5000" w:type="pct"/>
        <w:tblCellMar>
          <w:left w:w="0" w:type="dxa"/>
          <w:right w:w="0" w:type="dxa"/>
        </w:tblCellMar>
        <w:tblLook w:val="04A0" w:firstRow="1" w:lastRow="0" w:firstColumn="1" w:lastColumn="0" w:noHBand="0" w:noVBand="1"/>
      </w:tblPr>
      <w:tblGrid>
        <w:gridCol w:w="3234"/>
        <w:gridCol w:w="1940"/>
        <w:gridCol w:w="1939"/>
        <w:gridCol w:w="1939"/>
      </w:tblGrid>
      <w:tr w:rsidR="008544C0" w:rsidRPr="008544C0" w14:paraId="4A11927E" w14:textId="77777777" w:rsidTr="008544C0">
        <w:tc>
          <w:tcPr>
            <w:tcW w:w="1750" w:type="pct"/>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83CA440"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b/>
                <w:bCs/>
                <w:kern w:val="0"/>
                <w:sz w:val="17"/>
                <w:szCs w:val="17"/>
                <w:lang w:val="en-GB"/>
                <w14:ligatures w14:val="none"/>
              </w:rPr>
              <w:t>Référence</w:t>
            </w:r>
          </w:p>
        </w:tc>
        <w:tc>
          <w:tcPr>
            <w:tcW w:w="105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1975E446"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b/>
                <w:bCs/>
                <w:kern w:val="0"/>
                <w:sz w:val="17"/>
                <w:szCs w:val="17"/>
                <w:lang w:val="en-GB"/>
                <w14:ligatures w14:val="none"/>
              </w:rPr>
              <w:t>RXYSA 8 A</w:t>
            </w:r>
          </w:p>
        </w:tc>
        <w:tc>
          <w:tcPr>
            <w:tcW w:w="105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5AC3192C"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b/>
                <w:bCs/>
                <w:kern w:val="0"/>
                <w:sz w:val="17"/>
                <w:szCs w:val="17"/>
                <w:lang w:val="en-GB"/>
                <w14:ligatures w14:val="none"/>
              </w:rPr>
              <w:t>RXYSA 10 A</w:t>
            </w:r>
          </w:p>
        </w:tc>
        <w:tc>
          <w:tcPr>
            <w:tcW w:w="105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09A996F9"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b/>
                <w:bCs/>
                <w:kern w:val="0"/>
                <w:sz w:val="17"/>
                <w:szCs w:val="17"/>
                <w:lang w:val="en-GB"/>
                <w14:ligatures w14:val="none"/>
              </w:rPr>
              <w:t>RXYSA 12 A</w:t>
            </w:r>
          </w:p>
        </w:tc>
      </w:tr>
      <w:tr w:rsidR="008544C0" w:rsidRPr="008544C0" w14:paraId="4AB68597"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F2DC2EB"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Puissance frigorifique (kW)</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99B6E5D"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22,4</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AE5BA15"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28,0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A20785D"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33,5</w:t>
            </w:r>
          </w:p>
        </w:tc>
      </w:tr>
      <w:tr w:rsidR="008544C0" w:rsidRPr="008544C0" w14:paraId="39042097"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72FCACB"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Puissance calorifique (kW)</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F83BEE3"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22,4</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C3EEEF1"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28,0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56183A4"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33,5</w:t>
            </w:r>
          </w:p>
        </w:tc>
      </w:tr>
      <w:tr w:rsidR="008544C0" w:rsidRPr="008544C0" w14:paraId="7E6F6FE7"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E631DFD"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EER (froid) nominal</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B826AA5"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2,38</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5421FF9"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2,94</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4D159D0"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2,47</w:t>
            </w:r>
          </w:p>
        </w:tc>
      </w:tr>
      <w:tr w:rsidR="008544C0" w:rsidRPr="008544C0" w14:paraId="77C99CB5"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424EDFA"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SEER</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7CA4970"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6,36</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67041AD"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6,93</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B946A95"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6,47</w:t>
            </w:r>
          </w:p>
        </w:tc>
      </w:tr>
      <w:tr w:rsidR="008544C0" w:rsidRPr="008544C0" w14:paraId="478122D9"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C8DD001"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COP (chaud) nominal</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77180C5"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3,47</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865C735"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3,83</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397F43A"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3,82</w:t>
            </w:r>
          </w:p>
        </w:tc>
      </w:tr>
      <w:tr w:rsidR="008544C0" w:rsidRPr="008544C0" w14:paraId="71756AC6"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022A723"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SCOP</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C72CE6C"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4,42</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B65BD82"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4,42</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923E782"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4,64</w:t>
            </w:r>
          </w:p>
        </w:tc>
      </w:tr>
      <w:tr w:rsidR="008544C0" w:rsidRPr="008544C0" w14:paraId="1C20E0FD"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08E1435"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Certification Eurovent</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5AA0CD9"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oui</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7BBA146"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oui</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426B5FF"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oui</w:t>
            </w:r>
          </w:p>
        </w:tc>
      </w:tr>
      <w:tr w:rsidR="008544C0" w:rsidRPr="008544C0" w14:paraId="67327474"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4640C39" w14:textId="77777777" w:rsidR="008544C0" w:rsidRPr="008544C0" w:rsidRDefault="008544C0" w:rsidP="008544C0">
            <w:pPr>
              <w:spacing w:after="0" w:line="240" w:lineRule="auto"/>
              <w:rPr>
                <w:rFonts w:ascii="Calibri" w:eastAsia="Times New Roman" w:hAnsi="Calibri" w:cs="Calibri"/>
                <w:kern w:val="0"/>
                <w:sz w:val="17"/>
                <w:szCs w:val="17"/>
                <w14:ligatures w14:val="none"/>
              </w:rPr>
            </w:pPr>
            <w:r w:rsidRPr="008544C0">
              <w:rPr>
                <w:rFonts w:ascii="Calibri" w:eastAsia="Times New Roman" w:hAnsi="Calibri" w:cs="Calibri"/>
                <w:kern w:val="0"/>
                <w:sz w:val="17"/>
                <w:szCs w:val="17"/>
                <w14:ligatures w14:val="none"/>
              </w:rPr>
              <w:t>Débit d'air nominal (m</w:t>
            </w:r>
            <w:r w:rsidRPr="008544C0">
              <w:rPr>
                <w:rFonts w:ascii="Calibri" w:eastAsia="Times New Roman" w:hAnsi="Calibri" w:cs="Calibri"/>
                <w:kern w:val="0"/>
                <w:sz w:val="17"/>
                <w:szCs w:val="17"/>
                <w:vertAlign w:val="superscript"/>
                <w14:ligatures w14:val="none"/>
              </w:rPr>
              <w:t>3</w:t>
            </w:r>
            <w:r w:rsidRPr="008544C0">
              <w:rPr>
                <w:rFonts w:ascii="Calibri" w:eastAsia="Times New Roman" w:hAnsi="Calibri" w:cs="Calibri"/>
                <w:kern w:val="0"/>
                <w:sz w:val="17"/>
                <w:szCs w:val="17"/>
                <w14:ligatures w14:val="none"/>
              </w:rPr>
              <w:t>/h)</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D35B707"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14:ligatures w14:val="none"/>
              </w:rPr>
              <w:t>8 620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0BB7CF5"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14:ligatures w14:val="none"/>
              </w:rPr>
              <w:t>10 920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3B58EC3"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14:ligatures w14:val="none"/>
              </w:rPr>
              <w:t>10 920</w:t>
            </w:r>
          </w:p>
        </w:tc>
      </w:tr>
      <w:tr w:rsidR="008544C0" w:rsidRPr="008544C0" w14:paraId="50F9BC4D"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5AA6707"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Pression sonore dB(A) à 1m</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53F25B3"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58,1</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29619AC"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57,0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363A68F"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60,0</w:t>
            </w:r>
          </w:p>
        </w:tc>
      </w:tr>
      <w:tr w:rsidR="008544C0" w:rsidRPr="008544C0" w14:paraId="1BAB264B"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7B9B5A9"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Puissance sonore dB(A)</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A7AC626"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73,2</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3106AA8"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74,0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7D89A7B"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76,1</w:t>
            </w:r>
          </w:p>
        </w:tc>
      </w:tr>
      <w:tr w:rsidR="008544C0" w:rsidRPr="008544C0" w14:paraId="2B1ABA10"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FE8DB46"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Dimensions HxLxP (mm)</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330BF9A"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1430x940x320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0337979"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1615x940x320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1C7DA9E"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1615x940x320</w:t>
            </w:r>
          </w:p>
        </w:tc>
      </w:tr>
      <w:tr w:rsidR="008544C0" w:rsidRPr="008544C0" w14:paraId="65FD1E72"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B60C969"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Poids (kg)</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B1B9392"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134</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BF8F406"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163</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8B6558E"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163</w:t>
            </w:r>
          </w:p>
        </w:tc>
      </w:tr>
      <w:tr w:rsidR="008544C0" w:rsidRPr="008544C0" w14:paraId="2EDAFF00"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A85F0E7" w14:textId="77777777" w:rsidR="008544C0" w:rsidRPr="008544C0" w:rsidRDefault="008544C0" w:rsidP="008544C0">
            <w:pPr>
              <w:spacing w:after="0" w:line="240" w:lineRule="auto"/>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Nombre de compresseurs</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F77A090"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 Inverter</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B579B90"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 Inverter</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AF7C8B1"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1 Inverter</w:t>
            </w:r>
          </w:p>
        </w:tc>
      </w:tr>
      <w:tr w:rsidR="008544C0" w:rsidRPr="008544C0" w14:paraId="43D90BBF"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2756E88" w14:textId="77777777" w:rsidR="008544C0" w:rsidRPr="008544C0" w:rsidRDefault="008544C0" w:rsidP="008544C0">
            <w:pPr>
              <w:spacing w:after="0" w:line="240" w:lineRule="auto"/>
              <w:rPr>
                <w:rFonts w:ascii="Calibri" w:eastAsia="Times New Roman" w:hAnsi="Calibri" w:cs="Calibri"/>
                <w:kern w:val="0"/>
                <w:sz w:val="17"/>
                <w:szCs w:val="17"/>
                <w14:ligatures w14:val="none"/>
              </w:rPr>
            </w:pPr>
            <w:r w:rsidRPr="008544C0">
              <w:rPr>
                <w:rFonts w:ascii="Calibri" w:eastAsia="Times New Roman" w:hAnsi="Calibri" w:cs="Calibri"/>
                <w:kern w:val="0"/>
                <w:sz w:val="17"/>
                <w:szCs w:val="17"/>
                <w14:ligatures w14:val="none"/>
              </w:rPr>
              <w:t>Plage de fonctionnement froid (°C)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E1E0E7B"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-5/+52°C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21E4B91"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-5/+52°C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F45CD12"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-5/+52°C</w:t>
            </w:r>
          </w:p>
        </w:tc>
      </w:tr>
      <w:tr w:rsidR="008544C0" w:rsidRPr="008544C0" w14:paraId="3CA836A2" w14:textId="77777777" w:rsidTr="008544C0">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78A480EA" w14:textId="77777777" w:rsidR="008544C0" w:rsidRPr="008544C0" w:rsidRDefault="008544C0" w:rsidP="008544C0">
            <w:pPr>
              <w:spacing w:after="0" w:line="240" w:lineRule="auto"/>
              <w:rPr>
                <w:rFonts w:ascii="Calibri" w:eastAsia="Times New Roman" w:hAnsi="Calibri" w:cs="Calibri"/>
                <w:kern w:val="0"/>
                <w:sz w:val="17"/>
                <w:szCs w:val="17"/>
                <w14:ligatures w14:val="none"/>
              </w:rPr>
            </w:pPr>
            <w:r w:rsidRPr="008544C0">
              <w:rPr>
                <w:rFonts w:ascii="Calibri" w:eastAsia="Times New Roman" w:hAnsi="Calibri" w:cs="Calibri"/>
                <w:kern w:val="0"/>
                <w:sz w:val="17"/>
                <w:szCs w:val="17"/>
                <w14:ligatures w14:val="none"/>
              </w:rPr>
              <w:t>Plage de fonctionnement chaud (°C)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9F28BBD"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-20/+15,5°C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8E7BFE1"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-20/+15,5°C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DB8FBFE" w14:textId="77777777" w:rsidR="008544C0" w:rsidRPr="008544C0" w:rsidRDefault="008544C0" w:rsidP="008544C0">
            <w:pPr>
              <w:spacing w:after="0" w:line="240" w:lineRule="auto"/>
              <w:jc w:val="center"/>
              <w:rPr>
                <w:rFonts w:ascii="Calibri" w:eastAsia="Times New Roman" w:hAnsi="Calibri" w:cs="Calibri"/>
                <w:kern w:val="0"/>
                <w:sz w:val="17"/>
                <w:szCs w:val="17"/>
                <w:lang w:val="en-GB"/>
                <w14:ligatures w14:val="none"/>
              </w:rPr>
            </w:pPr>
            <w:r w:rsidRPr="008544C0">
              <w:rPr>
                <w:rFonts w:ascii="Calibri" w:eastAsia="Times New Roman" w:hAnsi="Calibri" w:cs="Calibri"/>
                <w:kern w:val="0"/>
                <w:sz w:val="17"/>
                <w:szCs w:val="17"/>
                <w:lang w:val="en-GB"/>
                <w14:ligatures w14:val="none"/>
              </w:rPr>
              <w:t>-20/+15,5°C</w:t>
            </w:r>
          </w:p>
        </w:tc>
      </w:tr>
    </w:tbl>
    <w:p w14:paraId="1C44CC54" w14:textId="77777777" w:rsidR="008544C0" w:rsidRPr="008544C0" w:rsidRDefault="008544C0" w:rsidP="008544C0">
      <w:pPr>
        <w:spacing w:after="0" w:line="240" w:lineRule="auto"/>
        <w:rPr>
          <w:rFonts w:ascii="Calibri" w:eastAsia="Times New Roman" w:hAnsi="Calibri" w:cs="Calibri"/>
          <w:color w:val="000000"/>
          <w:kern w:val="0"/>
          <w:lang w:val="en-GB"/>
          <w14:ligatures w14:val="none"/>
        </w:rPr>
      </w:pPr>
      <w:r w:rsidRPr="008544C0">
        <w:rPr>
          <w:rFonts w:ascii="Calibri" w:eastAsia="Times New Roman" w:hAnsi="Calibri" w:cs="Calibri"/>
          <w:color w:val="000000"/>
          <w:kern w:val="0"/>
          <w:sz w:val="20"/>
          <w:szCs w:val="20"/>
          <w14:ligatures w14:val="none"/>
        </w:rPr>
        <w:t> </w:t>
      </w:r>
    </w:p>
    <w:p w14:paraId="165F8670"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u w:val="single"/>
          <w14:ligatures w14:val="none"/>
        </w:rPr>
        <w:t>Conditions de mesures :</w:t>
      </w:r>
      <w:r w:rsidRPr="008544C0">
        <w:rPr>
          <w:rFonts w:ascii="Calibri" w:eastAsia="Times New Roman" w:hAnsi="Calibri" w:cs="Calibri"/>
          <w:color w:val="000000"/>
          <w:kern w:val="0"/>
          <w:sz w:val="24"/>
          <w:szCs w:val="24"/>
          <w14:ligatures w14:val="none"/>
        </w:rPr>
        <w:br/>
      </w:r>
      <w:r w:rsidRPr="008544C0">
        <w:rPr>
          <w:rFonts w:ascii="Calibri" w:eastAsia="Times New Roman" w:hAnsi="Calibri" w:cs="Calibri"/>
          <w:color w:val="000000"/>
          <w:kern w:val="0"/>
          <w:sz w:val="20"/>
          <w:szCs w:val="20"/>
          <w14:ligatures w14:val="none"/>
        </w:rPr>
        <w:t>ETE: 19°CBH/27°CBS intérieur, 35°CBS extérieur</w:t>
      </w:r>
      <w:r w:rsidRPr="008544C0">
        <w:rPr>
          <w:rFonts w:ascii="Calibri" w:eastAsia="Times New Roman" w:hAnsi="Calibri" w:cs="Calibri"/>
          <w:color w:val="000000"/>
          <w:kern w:val="0"/>
          <w:sz w:val="20"/>
          <w:szCs w:val="20"/>
          <w14:ligatures w14:val="none"/>
        </w:rPr>
        <w:br/>
        <w:t>HIVER: 20°CBS intérieur, 7°CBS / 6 °CBH extérieur</w:t>
      </w:r>
    </w:p>
    <w:p w14:paraId="69B53AF2"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4"/>
          <w:szCs w:val="24"/>
          <w14:ligatures w14:val="none"/>
        </w:rPr>
        <w:t> </w:t>
      </w:r>
    </w:p>
    <w:p w14:paraId="68A341F5"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Times New Roman" w:eastAsia="Times New Roman" w:hAnsi="Times New Roman" w:cs="Times New Roman"/>
          <w:b/>
          <w:bCs/>
          <w:color w:val="000000"/>
          <w:kern w:val="0"/>
          <w:sz w:val="24"/>
          <w:szCs w:val="24"/>
          <w14:ligatures w14:val="none"/>
        </w:rPr>
        <w:t>CHASSIS ET HABILLAGE</w:t>
      </w:r>
    </w:p>
    <w:p w14:paraId="5A26515C"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0B0C0BD8"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Chaque unité extérieure reposera sur un châssis de profilés métalliques renforcés sur lequel viendront s'adapter des panneaux rigides en acier revêtus d'une résine polypropylène imperméable, démontables, pour faciliter un accès à tout l'équipement intérieur.</w:t>
      </w:r>
    </w:p>
    <w:p w14:paraId="682F13A4"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 faible poids et les dimensions réduites des unités extérieures faciliteront l'installation et limiteront les charges au sol.</w:t>
      </w:r>
    </w:p>
    <w:p w14:paraId="711160ED"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Times New Roman" w:eastAsia="Times New Roman" w:hAnsi="Times New Roman" w:cs="Times New Roman"/>
          <w:b/>
          <w:bCs/>
          <w:color w:val="000000"/>
          <w:kern w:val="0"/>
          <w:sz w:val="24"/>
          <w:szCs w:val="24"/>
          <w14:ligatures w14:val="none"/>
        </w:rPr>
        <w:br/>
        <w:t>COMPRESSEURS</w:t>
      </w:r>
    </w:p>
    <w:p w14:paraId="42C068F2"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6A86E7B3"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Les compresseurs seront de type hermétique Scroll de fabrication DAIKIN. Ils seront tous contrôlés par Inverter et permettront d'étager les montées en puissance afin de s'adapter précisément aux besoins thermiques des locaux et d'éviter les surintensités au démarrage.</w:t>
      </w:r>
    </w:p>
    <w:p w14:paraId="5473AB6C"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74842F90"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lastRenderedPageBreak/>
        <w:t>Ils seront dotés d'un moteur à courant continu et d'aimants néodymium permettant de garantir un rendement énergétique élevé. Les moteurs seront refroidis par les gaz d'aspiration et protégés par des sondes thermiques.</w:t>
      </w:r>
    </w:p>
    <w:p w14:paraId="0E21A5A5"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Une fonction d'équilibrage des temps de fonctionnement des compresseurs permettra d'en prolonger la durée de vie.</w:t>
      </w:r>
    </w:p>
    <w:p w14:paraId="3BDC6802"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118EEFFE"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Chaque unité extérieure disposera d'une fonction de sauvegarde de puissance permettant, en cas de dysfonctionnement d'un des compresseurs, d'activer la pleine capacité des autres compresseurs afin d'assurer une puissance minimum, le temps du dépannage.</w:t>
      </w:r>
    </w:p>
    <w:p w14:paraId="33999FE4"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Times New Roman" w:eastAsia="Times New Roman" w:hAnsi="Times New Roman" w:cs="Times New Roman"/>
          <w:b/>
          <w:bCs/>
          <w:color w:val="000000"/>
          <w:kern w:val="0"/>
          <w:sz w:val="24"/>
          <w:szCs w:val="24"/>
          <w14:ligatures w14:val="none"/>
        </w:rPr>
        <w:br/>
        <w:t>ECHANGEUR DE CHALEUR</w:t>
      </w:r>
    </w:p>
    <w:p w14:paraId="2797C5A5"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0486204A"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Les échangeurs de chaleur seront constitués de tubes cuivre sertis sur des ailettes en aluminium protégées par un film de résine anticorrosion.</w:t>
      </w:r>
    </w:p>
    <w:p w14:paraId="28916617"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Times New Roman" w:eastAsia="Times New Roman" w:hAnsi="Times New Roman" w:cs="Times New Roman"/>
          <w:b/>
          <w:bCs/>
          <w:color w:val="000000"/>
          <w:kern w:val="0"/>
          <w:sz w:val="24"/>
          <w:szCs w:val="24"/>
          <w14:ligatures w14:val="none"/>
        </w:rPr>
        <w:br/>
        <w:t>VENTILATEUR</w:t>
      </w:r>
    </w:p>
    <w:p w14:paraId="6D064476"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247D6758"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Chaque unité extérieure sera équipée de ventilateurs de type hélicoïde à moteur à courant continu à haut rendement. La technologie Inverter permettra de faire varier la vitesse de rotation du moteur afin de limiter la consommation électrique de cet élément.</w:t>
      </w:r>
    </w:p>
    <w:p w14:paraId="79F253D6"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Les grilles de refoulement situées à la sortie d'air permettront de limiter les pertes de charge et de garantir une pression statique externe de 35 Pa.</w:t>
      </w:r>
    </w:p>
    <w:p w14:paraId="608733C6"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 groupe disposera de cinq niveau d’abaissement sonores nocturne permettant une réduction jusqu’à 36 dB(A).</w:t>
      </w:r>
    </w:p>
    <w:p w14:paraId="3DDA16A9"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Times New Roman" w:eastAsia="Times New Roman" w:hAnsi="Times New Roman" w:cs="Times New Roman"/>
          <w:b/>
          <w:bCs/>
          <w:color w:val="000000"/>
          <w:kern w:val="0"/>
          <w:sz w:val="24"/>
          <w:szCs w:val="24"/>
          <w14:ligatures w14:val="none"/>
        </w:rPr>
        <w:br/>
        <w:t>CIRCUIT DE REFRIGERANT, SYSTEME DE RECUPERATION D'HUILE</w:t>
      </w:r>
    </w:p>
    <w:p w14:paraId="72A4222A"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1DBF9E1F"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 circuit de réfrigérant comportera principalement une bouteille récupératrice de liquide, des vannes d'arrêt liquide et gaz pour le raccordement des tuyauteries, une vanne quatre voies permettant, selon les besoins, la réversibilité de l'installation.</w:t>
      </w:r>
    </w:p>
    <w:p w14:paraId="5B21BE49"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388DEB1C"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Un système d'équilibrage du niveau d'huile entre les compresseurs assurera une bonne lubrification de ces derniers. L'unité extérieure sera également dotée d'un système de récupération d'huile assurant un fonctionnement stable sur de grandes longueurs de canalisations frigorifiques.</w:t>
      </w:r>
    </w:p>
    <w:p w14:paraId="37815CED"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Les raccordements frigorifiques aux unités extérieures devront être brasés pour assurer une parfaite étanchéité.</w:t>
      </w:r>
    </w:p>
    <w:p w14:paraId="78D6BC12"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60FA05C8"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Times New Roman" w:eastAsia="Times New Roman" w:hAnsi="Times New Roman" w:cs="Times New Roman"/>
          <w:b/>
          <w:bCs/>
          <w:color w:val="000000"/>
          <w:kern w:val="0"/>
          <w:sz w:val="24"/>
          <w:szCs w:val="24"/>
          <w14:ligatures w14:val="none"/>
        </w:rPr>
        <w:t>TEMPERATURE DE REFRIGERANT VARIABLE</w:t>
      </w:r>
    </w:p>
    <w:p w14:paraId="72BCC49C"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4ECF97A5"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 système offrira la possibilité de faire varier les températures d’évaporation et de condensation du réfrigérant.</w:t>
      </w:r>
    </w:p>
    <w:p w14:paraId="0CF98244"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Cette variation pourra être pilotée selon différents mode de fonctionnement, dont un mode automatique qui consiste à adapter la température de réfrigérant en fonction des conditions extérieures, et ceci afin d’améliorer l’efficacité saisonnière de l’ensemble et le confort des occupants.</w:t>
      </w:r>
    </w:p>
    <w:p w14:paraId="5B071EB4"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3B31BB7A"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Cette fonctionnalité aura un rôle d’optimiseur dans les programmateurs de chauffage / refroidissement, permettant d’anticiper et réduire les besoins, valorisable sur le calcul RT 2012.</w:t>
      </w:r>
    </w:p>
    <w:p w14:paraId="7DF21A39"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4BE4F3EB"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Times New Roman" w:eastAsia="Times New Roman" w:hAnsi="Times New Roman" w:cs="Times New Roman"/>
          <w:b/>
          <w:bCs/>
          <w:color w:val="000000"/>
          <w:kern w:val="0"/>
          <w:sz w:val="24"/>
          <w:szCs w:val="24"/>
          <w14:ligatures w14:val="none"/>
        </w:rPr>
        <w:t>AFFICHAGE DIGITAL</w:t>
      </w:r>
    </w:p>
    <w:p w14:paraId="296E57E9"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092F61CF" w14:textId="77777777" w:rsidR="008544C0" w:rsidRDefault="008544C0" w:rsidP="008544C0">
      <w:pPr>
        <w:spacing w:after="0" w:line="240" w:lineRule="auto"/>
        <w:rPr>
          <w:rFonts w:ascii="Calibri" w:eastAsia="Times New Roman" w:hAnsi="Calibri" w:cs="Calibri"/>
          <w:color w:val="000000"/>
          <w:kern w:val="0"/>
          <w:sz w:val="20"/>
          <w:szCs w:val="20"/>
          <w14:ligatures w14:val="none"/>
        </w:rPr>
      </w:pPr>
      <w:r w:rsidRPr="008544C0">
        <w:rPr>
          <w:rFonts w:ascii="Calibri" w:eastAsia="Times New Roman" w:hAnsi="Calibri" w:cs="Calibri"/>
          <w:color w:val="000000"/>
          <w:kern w:val="0"/>
          <w:sz w:val="20"/>
          <w:szCs w:val="20"/>
          <w14:ligatures w14:val="none"/>
        </w:rPr>
        <w:t>L’unité extérieure intégrera un affichage digital sur 3 digits composé d’afficheurs 7 segments ainsi que de 3 boutons de programmations facilitant les opérations de maintenance par lecture directe des paramètres de fonctionnement et des éventuels codes défauts.</w:t>
      </w:r>
    </w:p>
    <w:p w14:paraId="3999173B" w14:textId="77777777" w:rsidR="00972543" w:rsidRDefault="00972543" w:rsidP="008544C0">
      <w:pPr>
        <w:spacing w:after="0" w:line="240" w:lineRule="auto"/>
        <w:rPr>
          <w:rFonts w:ascii="Calibri" w:eastAsia="Times New Roman" w:hAnsi="Calibri" w:cs="Calibri"/>
          <w:color w:val="000000"/>
          <w:kern w:val="0"/>
          <w:sz w:val="20"/>
          <w:szCs w:val="20"/>
          <w14:ligatures w14:val="none"/>
        </w:rPr>
      </w:pPr>
    </w:p>
    <w:p w14:paraId="0EC39544" w14:textId="77777777" w:rsidR="00972543" w:rsidRDefault="00972543" w:rsidP="008544C0">
      <w:pPr>
        <w:spacing w:after="0" w:line="240" w:lineRule="auto"/>
        <w:rPr>
          <w:rFonts w:ascii="Calibri" w:eastAsia="Times New Roman" w:hAnsi="Calibri" w:cs="Calibri"/>
          <w:color w:val="000000"/>
          <w:kern w:val="0"/>
          <w:sz w:val="20"/>
          <w:szCs w:val="20"/>
          <w14:ligatures w14:val="none"/>
        </w:rPr>
      </w:pPr>
    </w:p>
    <w:p w14:paraId="7FD906DD" w14:textId="77777777" w:rsidR="00972543" w:rsidRPr="008544C0" w:rsidRDefault="00972543" w:rsidP="008544C0">
      <w:pPr>
        <w:spacing w:after="0" w:line="240" w:lineRule="auto"/>
        <w:rPr>
          <w:rFonts w:ascii="Calibri" w:eastAsia="Times New Roman" w:hAnsi="Calibri" w:cs="Calibri"/>
          <w:color w:val="000000"/>
          <w:kern w:val="0"/>
          <w14:ligatures w14:val="none"/>
        </w:rPr>
      </w:pPr>
    </w:p>
    <w:p w14:paraId="79C805B5"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098FE3D9"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Times New Roman" w:eastAsia="Times New Roman" w:hAnsi="Times New Roman" w:cs="Times New Roman"/>
          <w:b/>
          <w:bCs/>
          <w:color w:val="000000"/>
          <w:kern w:val="0"/>
          <w:sz w:val="24"/>
          <w:szCs w:val="24"/>
          <w14:ligatures w14:val="none"/>
        </w:rPr>
        <w:lastRenderedPageBreak/>
        <w:t>CHARGE AUTOMATIQUE et CONTRÔLE DE CHARGE</w:t>
      </w:r>
    </w:p>
    <w:p w14:paraId="7024AF4E"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4A663B5F"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L’unité extérieure disposera d’une fonction de charge automatique de réfrigérant qui déterminera automatiquement la quantité de fluide à ajouter dans l’installation en fonction des contraintes du réseau frigorifique et garantira ainsi un fonctionnement optimal du système et un maintien des performances dans le temps.</w:t>
      </w:r>
    </w:p>
    <w:p w14:paraId="4F00850D"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L’unité extérieure disposera également d’une fonction de contrôle de charge afin de détecter un éventuel manque de charge de réfrigérant dans l’installation.</w:t>
      </w:r>
    </w:p>
    <w:p w14:paraId="4BA11A87" w14:textId="77777777" w:rsidR="008544C0" w:rsidRDefault="008544C0" w:rsidP="008544C0">
      <w:pPr>
        <w:spacing w:after="0" w:line="240" w:lineRule="auto"/>
        <w:rPr>
          <w:rFonts w:ascii="Calibri" w:eastAsia="Times New Roman" w:hAnsi="Calibri" w:cs="Calibri"/>
          <w:kern w:val="0"/>
          <w14:ligatures w14:val="none"/>
        </w:rPr>
      </w:pPr>
    </w:p>
    <w:p w14:paraId="77F24BBE" w14:textId="5D2E1323" w:rsidR="00F54865" w:rsidRPr="00F54865" w:rsidRDefault="002B78F8" w:rsidP="008544C0">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0F75B12B" w14:textId="77777777" w:rsidR="00F54865" w:rsidRDefault="00F54865" w:rsidP="00F54865">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7"/>
          <w:szCs w:val="27"/>
          <w14:ligatures w14:val="none"/>
        </w:rPr>
        <w:t>2.</w:t>
      </w:r>
      <w:r>
        <w:rPr>
          <w:rFonts w:ascii="Calibri" w:eastAsia="Times New Roman" w:hAnsi="Calibri" w:cs="Calibri"/>
          <w:b/>
          <w:bCs/>
          <w:color w:val="000000"/>
          <w:kern w:val="0"/>
          <w:sz w:val="27"/>
          <w:szCs w:val="27"/>
          <w14:ligatures w14:val="none"/>
        </w:rPr>
        <w:t>2 Kit Boîtier Détendeur</w:t>
      </w:r>
    </w:p>
    <w:p w14:paraId="6024B468"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0C78F4F4" w14:textId="311A7C70" w:rsidR="00F54865" w:rsidRDefault="00F54865" w:rsidP="00F54865">
      <w:pPr>
        <w:spacing w:after="0"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La sélection du kit de boîtiers détendeurs se fera selon les caractéristiques de l'échangeur de la centrale de traitement d'air (volume du circuit de la batterie et des besoins en puissance).</w:t>
      </w:r>
      <w:r w:rsidRPr="00BA743C">
        <w:rPr>
          <w:rFonts w:ascii="Calibri" w:eastAsia="Times New Roman" w:hAnsi="Calibri" w:cs="Calibri"/>
          <w:color w:val="000000"/>
          <w:kern w:val="0"/>
          <w:sz w:val="20"/>
          <w:szCs w:val="20"/>
          <w14:ligatures w14:val="none"/>
        </w:rPr>
        <w:br/>
        <w:t>Il est conçu pour être installé à l'intérieur ou à l'extérieur et peut être fixé sur un mur.</w:t>
      </w:r>
    </w:p>
    <w:p w14:paraId="11CBB854" w14:textId="77777777" w:rsidR="00F54865" w:rsidRPr="00F54865" w:rsidRDefault="00F54865" w:rsidP="00F54865">
      <w:pPr>
        <w:spacing w:after="0" w:line="240" w:lineRule="auto"/>
        <w:rPr>
          <w:rFonts w:ascii="Calibri" w:eastAsia="Times New Roman" w:hAnsi="Calibri" w:cs="Calibri"/>
          <w:kern w:val="0"/>
          <w14:ligatures w14:val="none"/>
        </w:rPr>
      </w:pPr>
    </w:p>
    <w:tbl>
      <w:tblPr>
        <w:tblW w:w="5095" w:type="dxa"/>
        <w:tblCellMar>
          <w:left w:w="0" w:type="dxa"/>
          <w:right w:w="0" w:type="dxa"/>
        </w:tblCellMar>
        <w:tblLook w:val="04A0" w:firstRow="1" w:lastRow="0" w:firstColumn="1" w:lastColumn="0" w:noHBand="0" w:noVBand="1"/>
      </w:tblPr>
      <w:tblGrid>
        <w:gridCol w:w="3394"/>
        <w:gridCol w:w="1701"/>
      </w:tblGrid>
      <w:tr w:rsidR="00F54865" w:rsidRPr="0050298E" w14:paraId="28EAFE15" w14:textId="77777777" w:rsidTr="001F1C65">
        <w:tc>
          <w:tcPr>
            <w:tcW w:w="339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759E2E0"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Référence</w:t>
            </w:r>
          </w:p>
        </w:tc>
        <w:tc>
          <w:tcPr>
            <w:tcW w:w="1701"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6E61619F"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EKEXV</w:t>
            </w:r>
            <w:r>
              <w:rPr>
                <w:rFonts w:ascii="Calibri" w:eastAsia="Times New Roman" w:hAnsi="Calibri" w:cs="Calibri"/>
                <w:b/>
                <w:bCs/>
                <w:color w:val="000000"/>
                <w:kern w:val="0"/>
                <w:sz w:val="17"/>
                <w:szCs w:val="17"/>
                <w14:ligatures w14:val="none"/>
              </w:rPr>
              <w:t>A</w:t>
            </w:r>
            <w:r w:rsidRPr="0050298E">
              <w:rPr>
                <w:rFonts w:ascii="Calibri" w:eastAsia="Times New Roman" w:hAnsi="Calibri" w:cs="Calibri"/>
                <w:b/>
                <w:bCs/>
                <w:color w:val="000000"/>
                <w:kern w:val="0"/>
                <w:sz w:val="17"/>
                <w:szCs w:val="17"/>
                <w14:ligatures w14:val="none"/>
              </w:rPr>
              <w:t xml:space="preserve"> </w:t>
            </w:r>
            <w:r>
              <w:rPr>
                <w:rFonts w:ascii="Calibri" w:eastAsia="Times New Roman" w:hAnsi="Calibri" w:cs="Calibri"/>
                <w:b/>
                <w:bCs/>
                <w:color w:val="000000"/>
                <w:kern w:val="0"/>
                <w:sz w:val="17"/>
                <w:szCs w:val="17"/>
                <w14:ligatures w14:val="none"/>
              </w:rPr>
              <w:t>63</w:t>
            </w:r>
            <w:r w:rsidRPr="0050298E">
              <w:rPr>
                <w:rFonts w:ascii="Calibri" w:eastAsia="Times New Roman" w:hAnsi="Calibri" w:cs="Calibri"/>
                <w:b/>
                <w:bCs/>
                <w:color w:val="000000"/>
                <w:kern w:val="0"/>
                <w:sz w:val="17"/>
                <w:szCs w:val="17"/>
                <w14:ligatures w14:val="none"/>
              </w:rPr>
              <w:t>-500</w:t>
            </w:r>
          </w:p>
        </w:tc>
      </w:tr>
      <w:tr w:rsidR="00F54865" w:rsidRPr="0050298E" w14:paraId="06C1FF39"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A224611"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Puissance Echangeur de chaleur (kW)</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FE6DD3A"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6</w:t>
            </w:r>
            <w:r w:rsidRPr="0050298E">
              <w:rPr>
                <w:rFonts w:ascii="Calibri" w:eastAsia="Times New Roman" w:hAnsi="Calibri" w:cs="Calibri"/>
                <w:color w:val="000000"/>
                <w:kern w:val="0"/>
                <w:sz w:val="17"/>
                <w:szCs w:val="17"/>
                <w14:ligatures w14:val="none"/>
              </w:rPr>
              <w:t xml:space="preserve"> à 61</w:t>
            </w:r>
          </w:p>
        </w:tc>
      </w:tr>
      <w:tr w:rsidR="00F54865" w:rsidRPr="0050298E" w14:paraId="5B22E63D"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B68D8A4"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Encombrement HxLxP (mm)</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04BE87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401 x 215 x 78</w:t>
            </w:r>
          </w:p>
        </w:tc>
      </w:tr>
      <w:tr w:rsidR="00F54865" w:rsidRPr="0050298E" w14:paraId="423B262F"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4E7A267"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Poids de l’unité (kg)</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54E2701"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2,9</w:t>
            </w:r>
          </w:p>
        </w:tc>
      </w:tr>
      <w:tr w:rsidR="00F54865" w:rsidRPr="0050298E" w14:paraId="09F8B62F"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tcPr>
          <w:p w14:paraId="7234A439" w14:textId="77777777" w:rsidR="00F54865" w:rsidRPr="0050298E" w:rsidRDefault="00F54865" w:rsidP="001F1C65">
            <w:pPr>
              <w:spacing w:after="0" w:line="240" w:lineRule="auto"/>
              <w:jc w:val="both"/>
              <w:rPr>
                <w:rFonts w:ascii="Calibri" w:eastAsia="Times New Roman" w:hAnsi="Calibri" w:cs="Calibri"/>
                <w:color w:val="000000"/>
                <w:kern w:val="0"/>
                <w:sz w:val="17"/>
                <w:szCs w:val="17"/>
                <w14:ligatures w14:val="none"/>
              </w:rPr>
            </w:pPr>
            <w:r>
              <w:rPr>
                <w:rFonts w:ascii="Calibri" w:eastAsia="Times New Roman" w:hAnsi="Calibri" w:cs="Calibri"/>
                <w:color w:val="000000"/>
                <w:kern w:val="0"/>
                <w:sz w:val="17"/>
                <w:szCs w:val="17"/>
                <w14:ligatures w14:val="none"/>
              </w:rPr>
              <w:t>Fluide frigorigène</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tcPr>
          <w:p w14:paraId="688D2606" w14:textId="77777777" w:rsidR="00F54865" w:rsidRPr="0050298E" w:rsidRDefault="00F54865" w:rsidP="001F1C65">
            <w:pPr>
              <w:spacing w:after="0" w:line="240" w:lineRule="auto"/>
              <w:jc w:val="center"/>
              <w:rPr>
                <w:rFonts w:ascii="Calibri" w:eastAsia="Times New Roman" w:hAnsi="Calibri" w:cs="Calibri"/>
                <w:color w:val="000000"/>
                <w:kern w:val="0"/>
                <w:sz w:val="17"/>
                <w:szCs w:val="17"/>
                <w14:ligatures w14:val="none"/>
              </w:rPr>
            </w:pPr>
            <w:r>
              <w:rPr>
                <w:rFonts w:ascii="Calibri" w:eastAsia="Times New Roman" w:hAnsi="Calibri" w:cs="Calibri"/>
                <w:color w:val="000000"/>
                <w:kern w:val="0"/>
                <w:sz w:val="17"/>
                <w:szCs w:val="17"/>
                <w14:ligatures w14:val="none"/>
              </w:rPr>
              <w:t>R32</w:t>
            </w:r>
          </w:p>
        </w:tc>
      </w:tr>
      <w:tr w:rsidR="00F54865" w:rsidRPr="0050298E" w14:paraId="68E2D661"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571E22C"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Niveau de Pression sonore dB(A)</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CFE7533"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45</w:t>
            </w:r>
          </w:p>
        </w:tc>
      </w:tr>
      <w:tr w:rsidR="00F54865" w:rsidRPr="0050298E" w14:paraId="10884987"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147318F"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Plage de fonctionnement (°CBS)</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345317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w:t>
            </w:r>
            <w:r>
              <w:rPr>
                <w:rFonts w:ascii="Calibri" w:eastAsia="Times New Roman" w:hAnsi="Calibri" w:cs="Calibri"/>
                <w:color w:val="000000"/>
                <w:kern w:val="0"/>
                <w:sz w:val="17"/>
                <w:szCs w:val="17"/>
                <w14:ligatures w14:val="none"/>
              </w:rPr>
              <w:t>20</w:t>
            </w:r>
            <w:r w:rsidRPr="0050298E">
              <w:rPr>
                <w:rFonts w:ascii="Calibri" w:eastAsia="Times New Roman" w:hAnsi="Calibri" w:cs="Calibri"/>
                <w:color w:val="000000"/>
                <w:kern w:val="0"/>
                <w:sz w:val="17"/>
                <w:szCs w:val="17"/>
                <w14:ligatures w14:val="none"/>
              </w:rPr>
              <w:t xml:space="preserve"> / +</w:t>
            </w:r>
            <w:r>
              <w:rPr>
                <w:rFonts w:ascii="Calibri" w:eastAsia="Times New Roman" w:hAnsi="Calibri" w:cs="Calibri"/>
                <w:color w:val="000000"/>
                <w:kern w:val="0"/>
                <w:sz w:val="17"/>
                <w:szCs w:val="17"/>
                <w14:ligatures w14:val="none"/>
              </w:rPr>
              <w:t>52</w:t>
            </w:r>
            <w:r w:rsidRPr="0050298E">
              <w:rPr>
                <w:rFonts w:ascii="Calibri" w:eastAsia="Times New Roman" w:hAnsi="Calibri" w:cs="Calibri"/>
                <w:color w:val="000000"/>
                <w:kern w:val="0"/>
                <w:sz w:val="17"/>
                <w:szCs w:val="17"/>
                <w14:ligatures w14:val="none"/>
              </w:rPr>
              <w:t>°C</w:t>
            </w:r>
          </w:p>
        </w:tc>
      </w:tr>
    </w:tbl>
    <w:p w14:paraId="0AA81304" w14:textId="4FD6449E" w:rsidR="002B78F8" w:rsidRPr="002B78F8" w:rsidRDefault="00F54865" w:rsidP="00F54865">
      <w:pPr>
        <w:spacing w:before="100" w:beforeAutospacing="1" w:after="100" w:afterAutospacing="1" w:line="240" w:lineRule="auto"/>
        <w:jc w:val="center"/>
        <w:outlineLvl w:val="1"/>
        <w:rPr>
          <w:rFonts w:ascii="Times New Roman" w:eastAsia="Times New Roman" w:hAnsi="Times New Roman" w:cs="Times New Roman"/>
          <w:b/>
          <w:bCs/>
          <w:color w:val="00A0C6"/>
          <w:kern w:val="0"/>
          <w:sz w:val="36"/>
          <w:szCs w:val="36"/>
          <w14:ligatures w14:val="none"/>
        </w:rPr>
      </w:pPr>
      <w:r>
        <w:rPr>
          <w:rFonts w:ascii="Times New Roman" w:eastAsia="Times New Roman" w:hAnsi="Times New Roman" w:cs="Times New Roman"/>
          <w:b/>
          <w:bCs/>
          <w:noProof/>
          <w:color w:val="00A0C6"/>
          <w:kern w:val="0"/>
          <w:sz w:val="36"/>
          <w:szCs w:val="36"/>
          <w14:ligatures w14:val="none"/>
        </w:rPr>
        <w:drawing>
          <wp:inline distT="0" distB="0" distL="0" distR="0" wp14:anchorId="736C3C3B" wp14:editId="2908AF2B">
            <wp:extent cx="5700679" cy="1718291"/>
            <wp:effectExtent l="0" t="0" r="0" b="0"/>
            <wp:docPr id="1141812890" name="Image 3"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812890" name="Image 3" descr="Une image contenant texte, capture d’écran, nombre, Police&#10;&#10;Le contenu généré par l’IA peut êtr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7381" cy="1735382"/>
                    </a:xfrm>
                    <a:prstGeom prst="rect">
                      <a:avLst/>
                    </a:prstGeom>
                    <a:noFill/>
                  </pic:spPr>
                </pic:pic>
              </a:graphicData>
            </a:graphic>
          </wp:inline>
        </w:drawing>
      </w:r>
    </w:p>
    <w:p w14:paraId="6CEE34E7" w14:textId="34086156"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3. Circuit frigorifique</w:t>
      </w:r>
      <w:r w:rsidR="00F54865">
        <w:rPr>
          <w:rFonts w:ascii="Calibri" w:eastAsia="Times New Roman" w:hAnsi="Calibri" w:cs="Calibri"/>
          <w:b/>
          <w:bCs/>
          <w:color w:val="00A0C6"/>
          <w:kern w:val="0"/>
          <w:sz w:val="36"/>
          <w:szCs w:val="36"/>
          <w14:ligatures w14:val="none"/>
        </w:rPr>
        <w:t xml:space="preserve"> et électrique</w:t>
      </w:r>
    </w:p>
    <w:p w14:paraId="09706175" w14:textId="77777777" w:rsidR="002B78F8" w:rsidRDefault="002B78F8" w:rsidP="002B78F8">
      <w:pPr>
        <w:spacing w:after="0" w:line="240" w:lineRule="auto"/>
        <w:rPr>
          <w:rFonts w:ascii="Calibri" w:eastAsia="Times New Roman" w:hAnsi="Calibri" w:cs="Calibri"/>
          <w:color w:val="000000"/>
          <w:kern w:val="0"/>
          <w:sz w:val="20"/>
          <w:szCs w:val="20"/>
          <w14:ligatures w14:val="none"/>
        </w:rPr>
      </w:pPr>
      <w:r w:rsidRPr="002B78F8">
        <w:rPr>
          <w:rFonts w:ascii="Calibri" w:eastAsia="Times New Roman" w:hAnsi="Calibri" w:cs="Calibri"/>
          <w:color w:val="000000"/>
          <w:kern w:val="0"/>
          <w:sz w:val="20"/>
          <w:szCs w:val="20"/>
          <w14:ligatures w14:val="none"/>
        </w:rPr>
        <w:t> </w:t>
      </w:r>
    </w:p>
    <w:p w14:paraId="0D76522E" w14:textId="0F99D967" w:rsidR="00F54865" w:rsidRDefault="00F54865" w:rsidP="00F54865">
      <w:pPr>
        <w:spacing w:after="0"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Le raccordement entre le groupe de condensation, le boîtier détendeur et l'évaporateur de la CTA sera effectué avec des liaisons cuivre de faible diamètre (qualité frigorifique), isolées séparément.</w:t>
      </w:r>
      <w:r w:rsidRPr="00BA743C">
        <w:rPr>
          <w:rFonts w:ascii="Calibri" w:eastAsia="Times New Roman" w:hAnsi="Calibri" w:cs="Calibri"/>
          <w:color w:val="000000"/>
          <w:kern w:val="0"/>
          <w:sz w:val="20"/>
          <w:szCs w:val="20"/>
          <w14:ligatures w14:val="none"/>
        </w:rPr>
        <w:br/>
        <w:t>La longueur maximale sera de 50m équivalent (dont 30m de dénivelé) entre le groupe et le boîtier détendeur.</w:t>
      </w:r>
      <w:r w:rsidRPr="00BA743C">
        <w:rPr>
          <w:rFonts w:ascii="Calibri" w:eastAsia="Times New Roman" w:hAnsi="Calibri" w:cs="Calibri"/>
          <w:color w:val="000000"/>
          <w:kern w:val="0"/>
          <w:sz w:val="20"/>
          <w:szCs w:val="20"/>
          <w14:ligatures w14:val="none"/>
        </w:rPr>
        <w:br/>
        <w:t>La longueur maximale entre le boîtier détendeur et la centrale de traitement d'air sera de 5m.</w:t>
      </w:r>
      <w:r w:rsidRPr="00BA743C">
        <w:rPr>
          <w:rFonts w:ascii="Calibri" w:eastAsia="Times New Roman" w:hAnsi="Calibri" w:cs="Calibri"/>
          <w:color w:val="000000"/>
          <w:kern w:val="0"/>
          <w:sz w:val="20"/>
          <w:szCs w:val="20"/>
          <w14:ligatures w14:val="none"/>
        </w:rPr>
        <w:br/>
        <w:t xml:space="preserve">Le groupe </w:t>
      </w:r>
      <w:r w:rsidR="008544C0">
        <w:rPr>
          <w:rFonts w:ascii="Calibri" w:eastAsia="Times New Roman" w:hAnsi="Calibri" w:cs="Calibri"/>
          <w:color w:val="000000"/>
          <w:kern w:val="0"/>
          <w:sz w:val="20"/>
          <w:szCs w:val="20"/>
          <w14:ligatures w14:val="none"/>
        </w:rPr>
        <w:t>VRV</w:t>
      </w:r>
      <w:r w:rsidRPr="00BA743C">
        <w:rPr>
          <w:rFonts w:ascii="Calibri" w:eastAsia="Times New Roman" w:hAnsi="Calibri" w:cs="Calibri"/>
          <w:color w:val="000000"/>
          <w:kern w:val="0"/>
          <w:sz w:val="20"/>
          <w:szCs w:val="20"/>
          <w14:ligatures w14:val="none"/>
        </w:rPr>
        <w:t xml:space="preserve"> sera </w:t>
      </w:r>
      <w:r w:rsidR="00B41262">
        <w:rPr>
          <w:rFonts w:ascii="Calibri" w:eastAsia="Times New Roman" w:hAnsi="Calibri" w:cs="Calibri"/>
          <w:color w:val="000000"/>
          <w:kern w:val="0"/>
          <w:sz w:val="20"/>
          <w:szCs w:val="20"/>
          <w14:ligatures w14:val="none"/>
        </w:rPr>
        <w:t>alimenté</w:t>
      </w:r>
      <w:r w:rsidRPr="00BA743C">
        <w:rPr>
          <w:rFonts w:ascii="Calibri" w:eastAsia="Times New Roman" w:hAnsi="Calibri" w:cs="Calibri"/>
          <w:color w:val="000000"/>
          <w:kern w:val="0"/>
          <w:sz w:val="20"/>
          <w:szCs w:val="20"/>
          <w14:ligatures w14:val="none"/>
        </w:rPr>
        <w:t xml:space="preserve"> en triphasé 400/3N/50. Il sera protégée par un disjoncteur différentiel de calibre adapté.</w:t>
      </w:r>
      <w:r w:rsidRPr="00BA743C">
        <w:rPr>
          <w:rFonts w:ascii="Calibri" w:eastAsia="Times New Roman" w:hAnsi="Calibri" w:cs="Calibri"/>
          <w:color w:val="000000"/>
          <w:kern w:val="0"/>
          <w:sz w:val="20"/>
          <w:szCs w:val="20"/>
          <w14:ligatures w14:val="none"/>
        </w:rPr>
        <w:br/>
        <w:t>Le boîtier de commande sera alimentée en monophasé 220/1/50. Il sera protégé par un disjoncteur différentiel de calibre adapté.</w:t>
      </w:r>
      <w:r w:rsidRPr="00BA743C">
        <w:rPr>
          <w:rFonts w:ascii="Calibri" w:eastAsia="Times New Roman" w:hAnsi="Calibri" w:cs="Calibri"/>
          <w:color w:val="000000"/>
          <w:kern w:val="0"/>
          <w:sz w:val="20"/>
          <w:szCs w:val="20"/>
          <w14:ligatures w14:val="none"/>
        </w:rPr>
        <w:br/>
        <w:t>Une liaison bus (série/parallèle) une paire, non polarisée, blindée assurera la communication entre le groupe de condensation et le boîtier de contrôle.</w:t>
      </w:r>
      <w:r w:rsidRPr="00BA743C">
        <w:rPr>
          <w:rFonts w:ascii="Calibri" w:eastAsia="Times New Roman" w:hAnsi="Calibri" w:cs="Calibri"/>
          <w:color w:val="000000"/>
          <w:kern w:val="0"/>
          <w:sz w:val="20"/>
          <w:szCs w:val="20"/>
          <w14:ligatures w14:val="none"/>
        </w:rPr>
        <w:br/>
        <w:t>Une liaison bus trois paires, non polarisée, blindée assurera la communication entre le boîtier de contrôle et le boîtier détendeur.</w:t>
      </w:r>
    </w:p>
    <w:p w14:paraId="5FFB4C3C"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61D71E5C" w14:textId="0FBE2FC6" w:rsidR="002B78F8" w:rsidRPr="002B78F8" w:rsidRDefault="00F54865"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De plus, les dispositifs de sécurité suivants équiperont l'unité extérieure évitant tout fonctionnement préjudiciable à l'installation : pressostat haute pression, fusibles, résistance de préchauffage de carter, douille fusible, protection de surintensité de l'Inverter et minuterie anti court-cycle.</w:t>
      </w:r>
    </w:p>
    <w:p w14:paraId="14B488AA" w14:textId="0908ED34"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lastRenderedPageBreak/>
        <w:t xml:space="preserve">4. </w:t>
      </w:r>
      <w:r w:rsidR="00F54865">
        <w:rPr>
          <w:rFonts w:ascii="Calibri" w:eastAsia="Times New Roman" w:hAnsi="Calibri" w:cs="Calibri"/>
          <w:b/>
          <w:bCs/>
          <w:color w:val="00A0C6"/>
          <w:kern w:val="0"/>
          <w:sz w:val="36"/>
          <w:szCs w:val="36"/>
          <w14:ligatures w14:val="none"/>
        </w:rPr>
        <w:t>Régulation et Sécurité</w:t>
      </w:r>
    </w:p>
    <w:p w14:paraId="72F8BA81" w14:textId="77777777" w:rsidR="00F54865" w:rsidRDefault="002B78F8" w:rsidP="00F54865">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634E6780" w14:textId="3C71C0A8" w:rsidR="00F54865" w:rsidRPr="00F54865" w:rsidRDefault="00F54865" w:rsidP="00F54865">
      <w:pPr>
        <w:spacing w:after="0" w:line="240" w:lineRule="auto"/>
        <w:rPr>
          <w:rFonts w:ascii="Calibri" w:eastAsia="Times New Roman" w:hAnsi="Calibri" w:cs="Calibri"/>
          <w:kern w:val="0"/>
          <w14:ligatures w14:val="none"/>
        </w:rPr>
      </w:pPr>
      <w:r w:rsidRPr="0050298E">
        <w:rPr>
          <w:rFonts w:ascii="Calibri" w:eastAsia="Times New Roman" w:hAnsi="Calibri" w:cs="Calibri"/>
          <w:color w:val="000000"/>
          <w:kern w:val="0"/>
          <w:sz w:val="20"/>
          <w:szCs w:val="20"/>
          <w14:ligatures w14:val="none"/>
        </w:rPr>
        <w:t>La régulation se fera via un boîtier de contrôle interface entre le groupe de condensation et la centrale de traitement d'air.</w:t>
      </w:r>
    </w:p>
    <w:p w14:paraId="51E577D5" w14:textId="77777777" w:rsidR="00F54865" w:rsidRPr="0050298E" w:rsidRDefault="00F54865" w:rsidP="00F54865">
      <w:pPr>
        <w:spacing w:after="0" w:line="240" w:lineRule="auto"/>
        <w:rPr>
          <w:rFonts w:ascii="Calibri" w:eastAsia="Times New Roman" w:hAnsi="Calibri" w:cs="Calibri"/>
          <w:color w:val="000000"/>
          <w:kern w:val="0"/>
          <w14:ligatures w14:val="none"/>
        </w:rPr>
      </w:pPr>
      <w:r w:rsidRPr="0050298E">
        <w:rPr>
          <w:rFonts w:ascii="Calibri" w:eastAsia="Times New Roman" w:hAnsi="Calibri" w:cs="Calibri"/>
          <w:color w:val="000000"/>
          <w:kern w:val="0"/>
          <w:sz w:val="20"/>
          <w:szCs w:val="20"/>
          <w14:ligatures w14:val="none"/>
        </w:rPr>
        <w:t> </w:t>
      </w:r>
    </w:p>
    <w:tbl>
      <w:tblPr>
        <w:tblW w:w="5095" w:type="dxa"/>
        <w:tblCellMar>
          <w:left w:w="0" w:type="dxa"/>
          <w:right w:w="0" w:type="dxa"/>
        </w:tblCellMar>
        <w:tblLook w:val="04A0" w:firstRow="1" w:lastRow="0" w:firstColumn="1" w:lastColumn="0" w:noHBand="0" w:noVBand="1"/>
      </w:tblPr>
      <w:tblGrid>
        <w:gridCol w:w="3394"/>
        <w:gridCol w:w="1701"/>
      </w:tblGrid>
      <w:tr w:rsidR="00F54865" w:rsidRPr="0050298E" w14:paraId="1C5C408B" w14:textId="77777777" w:rsidTr="001F1C65">
        <w:tc>
          <w:tcPr>
            <w:tcW w:w="339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B331A84"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Référence</w:t>
            </w:r>
          </w:p>
        </w:tc>
        <w:tc>
          <w:tcPr>
            <w:tcW w:w="1701"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228D28A0"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EKE</w:t>
            </w:r>
            <w:r>
              <w:rPr>
                <w:rFonts w:ascii="Calibri" w:eastAsia="Times New Roman" w:hAnsi="Calibri" w:cs="Calibri"/>
                <w:b/>
                <w:bCs/>
                <w:color w:val="000000"/>
                <w:kern w:val="0"/>
                <w:sz w:val="17"/>
                <w:szCs w:val="17"/>
                <w14:ligatures w14:val="none"/>
              </w:rPr>
              <w:t>ACB</w:t>
            </w:r>
          </w:p>
        </w:tc>
      </w:tr>
      <w:tr w:rsidR="00F54865" w:rsidRPr="0050298E" w14:paraId="354E553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A24D3BD"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Type de contrôle</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1DBB8D4"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W/X/Y/Z/Z’</w:t>
            </w:r>
          </w:p>
        </w:tc>
      </w:tr>
      <w:tr w:rsidR="00F54865" w:rsidRPr="0050298E" w14:paraId="1F38FAD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927DB4D"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Encombrement HxLxP (mm)</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914D4EB"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400 x 300 x 150</w:t>
            </w:r>
          </w:p>
        </w:tc>
      </w:tr>
      <w:tr w:rsidR="00F54865" w:rsidRPr="0050298E" w14:paraId="05708E49"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7FBB7CF"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Poids de l’unité (kg)</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EC778C2"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5,1</w:t>
            </w:r>
          </w:p>
        </w:tc>
      </w:tr>
      <w:tr w:rsidR="00F54865" w:rsidRPr="0050298E" w14:paraId="6A27C42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A0F37E6"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Plage de fonctionnement (°CBS)</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4E040EE"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-10 / +40°C</w:t>
            </w:r>
          </w:p>
        </w:tc>
      </w:tr>
      <w:tr w:rsidR="00F54865" w:rsidRPr="0050298E" w14:paraId="5B2E98B2"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29CCFE8"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Alimentation électrique (V/Ph/Hz)</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4E0B28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230 / 1 / 50</w:t>
            </w:r>
          </w:p>
        </w:tc>
      </w:tr>
    </w:tbl>
    <w:p w14:paraId="25A4DDD3" w14:textId="77777777" w:rsidR="00F54865" w:rsidRPr="00D02A1A" w:rsidRDefault="00F54865" w:rsidP="00F54865">
      <w:pPr>
        <w:spacing w:after="0" w:line="240" w:lineRule="auto"/>
        <w:rPr>
          <w:rFonts w:ascii="Calibri" w:eastAsia="Times New Roman" w:hAnsi="Calibri" w:cs="Calibri"/>
          <w:color w:val="000000"/>
          <w:kern w:val="0"/>
          <w14:ligatures w14:val="none"/>
        </w:rPr>
      </w:pPr>
    </w:p>
    <w:p w14:paraId="40DEB67A" w14:textId="77777777" w:rsidR="00F54865" w:rsidRPr="0050298E" w:rsidRDefault="00F54865" w:rsidP="00F54865">
      <w:pPr>
        <w:spacing w:after="0" w:line="240" w:lineRule="auto"/>
        <w:ind w:left="720" w:hanging="360"/>
        <w:rPr>
          <w:rFonts w:ascii="Calibri" w:eastAsia="Times New Roman" w:hAnsi="Calibri" w:cs="Calibri"/>
          <w:color w:val="000000"/>
          <w:kern w:val="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W:</w:t>
      </w:r>
      <w:r w:rsidRPr="0050298E">
        <w:rPr>
          <w:rFonts w:ascii="Calibri" w:eastAsia="Times New Roman" w:hAnsi="Calibri" w:cs="Calibri"/>
          <w:color w:val="000000"/>
          <w:kern w:val="0"/>
          <w:sz w:val="20"/>
          <w:szCs w:val="20"/>
          <w14:ligatures w14:val="none"/>
        </w:rPr>
        <w:t xml:space="preserve"> régulation en fonction des températures de l'air </w:t>
      </w:r>
      <w:r>
        <w:rPr>
          <w:rFonts w:ascii="Calibri" w:eastAsia="Times New Roman" w:hAnsi="Calibri" w:cs="Calibri"/>
          <w:color w:val="000000"/>
          <w:kern w:val="0"/>
          <w:sz w:val="20"/>
          <w:szCs w:val="20"/>
          <w14:ligatures w14:val="none"/>
        </w:rPr>
        <w:t>soufflé ou repris avec un régulateur externe (CTA non DAIKIN) de type DCC, via 0-10V proportionnel.</w:t>
      </w:r>
    </w:p>
    <w:p w14:paraId="3B0B4375" w14:textId="77777777" w:rsidR="00F54865" w:rsidRDefault="00F54865" w:rsidP="00F54865">
      <w:pPr>
        <w:spacing w:after="0" w:line="240" w:lineRule="auto"/>
        <w:ind w:left="720" w:hanging="360"/>
        <w:rPr>
          <w:rFonts w:ascii="Symbol" w:eastAsia="Times New Roman" w:hAnsi="Symbol"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X:</w:t>
      </w:r>
      <w:r w:rsidRPr="0050298E">
        <w:rPr>
          <w:rFonts w:ascii="Calibri" w:eastAsia="Times New Roman" w:hAnsi="Calibri" w:cs="Calibri"/>
          <w:color w:val="000000"/>
          <w:kern w:val="0"/>
          <w:sz w:val="20"/>
          <w:szCs w:val="20"/>
          <w14:ligatures w14:val="none"/>
        </w:rPr>
        <w:t xml:space="preserve"> régulation en fonction des températures de l'air </w:t>
      </w:r>
      <w:r>
        <w:rPr>
          <w:rFonts w:ascii="Calibri" w:eastAsia="Times New Roman" w:hAnsi="Calibri" w:cs="Calibri"/>
          <w:color w:val="000000"/>
          <w:kern w:val="0"/>
          <w:sz w:val="20"/>
          <w:szCs w:val="20"/>
          <w14:ligatures w14:val="none"/>
        </w:rPr>
        <w:t>soufflé ou repris avec un régulateur de type DDC (type de régulation d’usine sur les CTA DAIKIN)</w:t>
      </w:r>
    </w:p>
    <w:p w14:paraId="3A27B0E0"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Y:</w:t>
      </w:r>
      <w:r w:rsidRPr="0050298E">
        <w:rPr>
          <w:rFonts w:ascii="Calibri" w:eastAsia="Times New Roman" w:hAnsi="Calibri" w:cs="Calibri"/>
          <w:color w:val="000000"/>
          <w:kern w:val="0"/>
          <w:sz w:val="20"/>
          <w:szCs w:val="20"/>
          <w14:ligatures w14:val="none"/>
        </w:rPr>
        <w:t xml:space="preserve"> régulation en fonction de la température d'évaporation</w:t>
      </w:r>
      <w:r>
        <w:rPr>
          <w:rFonts w:ascii="Calibri" w:eastAsia="Times New Roman" w:hAnsi="Calibri" w:cs="Calibri"/>
          <w:color w:val="000000"/>
          <w:kern w:val="0"/>
          <w:sz w:val="20"/>
          <w:szCs w:val="20"/>
          <w14:ligatures w14:val="none"/>
        </w:rPr>
        <w:t>/condensation (contrôle indirect de la température ambiante) via un thermostat tiers et une télécommande Madoka DAIKIN</w:t>
      </w:r>
    </w:p>
    <w:p w14:paraId="1FB96542"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Z:</w:t>
      </w:r>
      <w:r w:rsidRPr="0050298E">
        <w:rPr>
          <w:rFonts w:ascii="Calibri" w:eastAsia="Times New Roman" w:hAnsi="Calibri" w:cs="Calibri"/>
          <w:color w:val="000000"/>
          <w:kern w:val="0"/>
          <w:sz w:val="20"/>
          <w:szCs w:val="20"/>
          <w14:ligatures w14:val="none"/>
        </w:rPr>
        <w:t xml:space="preserve"> régulation en fonction de la température de reprise </w:t>
      </w:r>
      <w:r>
        <w:rPr>
          <w:rFonts w:ascii="Calibri" w:eastAsia="Times New Roman" w:hAnsi="Calibri" w:cs="Calibri"/>
          <w:color w:val="000000"/>
          <w:kern w:val="0"/>
          <w:sz w:val="20"/>
          <w:szCs w:val="20"/>
          <w14:ligatures w14:val="none"/>
        </w:rPr>
        <w:t>via une télécommande Madoka DAIKIN (application de type CTA Simple Flux 100% air repris). Possibilité pour un groupe VRV de comporter plusieurs kits DX ou de mixé avec des unités intérieurs VRV.</w:t>
      </w:r>
    </w:p>
    <w:p w14:paraId="266E4D53"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Z’:</w:t>
      </w:r>
      <w:r w:rsidRPr="0050298E">
        <w:rPr>
          <w:rFonts w:ascii="Calibri" w:eastAsia="Times New Roman" w:hAnsi="Calibri" w:cs="Calibri"/>
          <w:color w:val="000000"/>
          <w:kern w:val="0"/>
          <w:sz w:val="20"/>
          <w:szCs w:val="20"/>
          <w14:ligatures w14:val="none"/>
        </w:rPr>
        <w:t xml:space="preserve"> régulation en fonction de la température de</w:t>
      </w:r>
      <w:r>
        <w:rPr>
          <w:rFonts w:ascii="Calibri" w:eastAsia="Times New Roman" w:hAnsi="Calibri" w:cs="Calibri"/>
          <w:color w:val="000000"/>
          <w:kern w:val="0"/>
          <w:sz w:val="20"/>
          <w:szCs w:val="20"/>
          <w14:ligatures w14:val="none"/>
        </w:rPr>
        <w:t xml:space="preserve"> soufflage via une télécommande Madoka DAIKIN (CTA avec air neuf possible). Possibilité pour un groupe VRV de comporter plusieurs kits DX ou de mixé avec des unités intérieurs VRV.</w:t>
      </w:r>
    </w:p>
    <w:p w14:paraId="70993367"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4055F6D8"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r w:rsidRPr="00151BD9">
        <w:rPr>
          <w:rFonts w:ascii="Calibri" w:eastAsia="Times New Roman" w:hAnsi="Calibri" w:cs="Calibri"/>
          <w:color w:val="000000"/>
          <w:kern w:val="0"/>
          <w:sz w:val="20"/>
          <w:szCs w:val="20"/>
          <w14:ligatures w14:val="none"/>
        </w:rPr>
        <w:t>La mise en place de mesure de sécurité vis-à-vis de l’utilisation du R32</w:t>
      </w:r>
      <w:r>
        <w:rPr>
          <w:rFonts w:ascii="Calibri" w:eastAsia="Times New Roman" w:hAnsi="Calibri" w:cs="Calibri"/>
          <w:color w:val="000000"/>
          <w:kern w:val="0"/>
          <w:sz w:val="20"/>
          <w:szCs w:val="20"/>
          <w14:ligatures w14:val="none"/>
        </w:rPr>
        <w:t xml:space="preserve"> (conformité IEC.40)</w:t>
      </w:r>
      <w:r w:rsidRPr="00151BD9">
        <w:rPr>
          <w:rFonts w:ascii="Calibri" w:eastAsia="Times New Roman" w:hAnsi="Calibri" w:cs="Calibri"/>
          <w:color w:val="000000"/>
          <w:kern w:val="0"/>
          <w:sz w:val="20"/>
          <w:szCs w:val="20"/>
          <w14:ligatures w14:val="none"/>
        </w:rPr>
        <w:t xml:space="preserve"> est sous la responsabilité de la CTA et non des groupes de production / kit DX</w:t>
      </w:r>
      <w:r>
        <w:rPr>
          <w:rFonts w:ascii="Calibri" w:eastAsia="Times New Roman" w:hAnsi="Calibri" w:cs="Calibri"/>
          <w:color w:val="000000"/>
          <w:kern w:val="0"/>
          <w:sz w:val="20"/>
          <w:szCs w:val="20"/>
          <w14:ligatures w14:val="none"/>
        </w:rPr>
        <w:t>.</w:t>
      </w:r>
    </w:p>
    <w:p w14:paraId="5C545B53"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3CEBA332"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 xml:space="preserve">Le kit de détente et de contrôle pourront être montés et câblés d’usine dans la CTA dans le cas où la CTA serait de marque DAIKIN (Compact / Modular ou PRO). Celle-ci intégrera la </w:t>
      </w:r>
      <w:r w:rsidRPr="00F326A5">
        <w:rPr>
          <w:rFonts w:ascii="Calibri" w:eastAsia="Times New Roman" w:hAnsi="Calibri" w:cs="Calibri"/>
          <w:color w:val="000000"/>
          <w:kern w:val="0"/>
          <w:sz w:val="20"/>
          <w:szCs w:val="20"/>
          <w14:ligatures w14:val="none"/>
        </w:rPr>
        <w:t>conformité vis-à-vis de la norme produit IEC2.40 par le régulateur de la CTA qui effectuera une surveillance constante du débit d’air de la CTA par rapport à la charge. Ainsi, il vérifiera que le débit de la CTA ne descend pas en dessous d’un débit minimum (selon la charge de fluide) pour ne jamais atteindre la concentration maximum en cas de fuite. Si le débit descend en dessous du minimum, la CTA se mettra en défaut générale, se stoppera et s’isolera via ses 4 registres d’isolement en gaine (à prévoir en accessoire) pour contenir la potentielle fuite de fluide frigorigène.</w:t>
      </w:r>
    </w:p>
    <w:p w14:paraId="6EF996FE" w14:textId="02909783" w:rsidR="002B78F8" w:rsidRPr="002B78F8" w:rsidRDefault="002B78F8" w:rsidP="002B78F8">
      <w:pPr>
        <w:spacing w:after="0" w:line="240" w:lineRule="auto"/>
        <w:rPr>
          <w:rFonts w:ascii="Calibri" w:eastAsia="Times New Roman" w:hAnsi="Calibri" w:cs="Calibri"/>
          <w:kern w:val="0"/>
          <w14:ligatures w14:val="none"/>
        </w:rPr>
      </w:pPr>
    </w:p>
    <w:p w14:paraId="7822730D" w14:textId="1A86DD3C" w:rsidR="002B78F8" w:rsidRPr="002B78F8" w:rsidRDefault="00F54865" w:rsidP="002B78F8">
      <w:pPr>
        <w:spacing w:after="0" w:line="240" w:lineRule="auto"/>
        <w:rPr>
          <w:rFonts w:ascii="Calibri" w:eastAsia="Times New Roman" w:hAnsi="Calibri" w:cs="Calibri"/>
          <w:kern w:val="0"/>
          <w14:ligatures w14:val="none"/>
        </w:rPr>
      </w:pPr>
      <w:r>
        <w:rPr>
          <w:rFonts w:ascii="Calibri" w:eastAsia="Times New Roman" w:hAnsi="Calibri" w:cs="Calibri"/>
          <w:b/>
          <w:bCs/>
          <w:color w:val="00A0C6"/>
          <w:kern w:val="0"/>
          <w:sz w:val="36"/>
          <w:szCs w:val="36"/>
          <w14:ligatures w14:val="none"/>
        </w:rPr>
        <w:t>5</w:t>
      </w:r>
      <w:r w:rsidR="002B78F8" w:rsidRPr="002B78F8">
        <w:rPr>
          <w:rFonts w:ascii="Calibri" w:eastAsia="Times New Roman" w:hAnsi="Calibri" w:cs="Calibri"/>
          <w:b/>
          <w:bCs/>
          <w:color w:val="00A0C6"/>
          <w:kern w:val="0"/>
          <w:sz w:val="36"/>
          <w:szCs w:val="36"/>
          <w14:ligatures w14:val="none"/>
        </w:rPr>
        <w:t>. Mise en œuvre et garantie</w:t>
      </w:r>
    </w:p>
    <w:p w14:paraId="5CA49F6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3283F8A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La sélection du matériel défini aura préalablement reçu l'accord du service technique DAIKIN et tiendra compte des exigences du maître d'ouvrage afin de valider les points suivants :</w:t>
      </w:r>
    </w:p>
    <w:p w14:paraId="0BE5F389" w14:textId="77777777" w:rsidR="002B78F8" w:rsidRPr="002B78F8"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compatibilité technique du matériel (unité extérieure, unités intérieures, liaisons frigorifiques, câblages, protections électriques)</w:t>
      </w:r>
    </w:p>
    <w:p w14:paraId="0FBC8758" w14:textId="77777777" w:rsidR="002B78F8" w:rsidRPr="002B78F8"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cohérence du système et de son application (dimensionnement, plage de fonctionnement, niveaux sonore, taux de brassage, contrôle et régulation, puissance thermique, évacuation des condensats)</w:t>
      </w:r>
    </w:p>
    <w:p w14:paraId="4EA0F3C4" w14:textId="77777777" w:rsidR="002B78F8" w:rsidRPr="002B78F8"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Evolution du système dans le temps (capacité d'extension de l'installation, communication et régulation futures)</w:t>
      </w:r>
    </w:p>
    <w:p w14:paraId="0FB473E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r w:rsidRPr="002B78F8">
        <w:rPr>
          <w:rFonts w:ascii="Calibri" w:eastAsia="Times New Roman" w:hAnsi="Calibri" w:cs="Calibri"/>
          <w:b/>
          <w:bCs/>
          <w:i/>
          <w:iCs/>
          <w:color w:val="000000"/>
          <w:kern w:val="0"/>
          <w:sz w:val="20"/>
          <w:szCs w:val="20"/>
          <w14:ligatures w14:val="none"/>
        </w:rPr>
        <w:br/>
        <w:t>Règles d'installation électrique du système</w:t>
      </w:r>
    </w:p>
    <w:p w14:paraId="18CF4C9F" w14:textId="12FF398A"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xml:space="preserve">Le raccordement </w:t>
      </w:r>
      <w:r w:rsidR="00F54865">
        <w:rPr>
          <w:rFonts w:ascii="Calibri" w:eastAsia="Times New Roman" w:hAnsi="Calibri" w:cs="Calibri"/>
          <w:color w:val="000000"/>
          <w:kern w:val="0"/>
          <w:sz w:val="20"/>
          <w:szCs w:val="20"/>
          <w14:ligatures w14:val="none"/>
        </w:rPr>
        <w:t>de l’unité</w:t>
      </w:r>
      <w:r w:rsidRPr="002B78F8">
        <w:rPr>
          <w:rFonts w:ascii="Calibri" w:eastAsia="Times New Roman" w:hAnsi="Calibri" w:cs="Calibri"/>
          <w:color w:val="000000"/>
          <w:kern w:val="0"/>
          <w:sz w:val="20"/>
          <w:szCs w:val="20"/>
          <w14:ligatures w14:val="none"/>
        </w:rPr>
        <w:t xml:space="preserve"> sera réalisé par l'entreprise depuis le coffret électrique privatif du lot concerné, y compris protections nécessaires et adaptées. Chaque unité extérieure sera équipée par l'entreprise d'une coupure de proximité.</w:t>
      </w:r>
    </w:p>
    <w:p w14:paraId="63BB323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br/>
        <w:t>Règles d'installation frigorifique du système</w:t>
      </w:r>
    </w:p>
    <w:p w14:paraId="1F8292F8" w14:textId="0FF1A1B9"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 réseau frigorifique sera réalisé au moyen de tuyauteries en cuivre qualité frigo</w:t>
      </w:r>
      <w:r w:rsidR="00F54865">
        <w:rPr>
          <w:rFonts w:ascii="Calibri" w:eastAsia="Times New Roman" w:hAnsi="Calibri" w:cs="Calibri"/>
          <w:color w:val="000000"/>
          <w:kern w:val="0"/>
          <w:sz w:val="20"/>
          <w:szCs w:val="20"/>
          <w14:ligatures w14:val="none"/>
        </w:rPr>
        <w:t xml:space="preserve"> et</w:t>
      </w:r>
      <w:r w:rsidRPr="002B78F8">
        <w:rPr>
          <w:rFonts w:ascii="Calibri" w:eastAsia="Times New Roman" w:hAnsi="Calibri" w:cs="Calibri"/>
          <w:color w:val="000000"/>
          <w:kern w:val="0"/>
          <w:sz w:val="20"/>
          <w:szCs w:val="20"/>
          <w14:ligatures w14:val="none"/>
        </w:rPr>
        <w:t xml:space="preserve"> de diamètre adapté.</w:t>
      </w:r>
    </w:p>
    <w:p w14:paraId="6F4CFAE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lastRenderedPageBreak/>
        <w:t>Tous les raccordements seront réalisés par brasure (entre 5% et 15% d'argent), sous atmosphère neutre (azote). Lors de la fixation des tuyauteries frigorifiques, l'entreprise veillera à tenir compte de la dilatation linéaire du cuivre liée aux variations de température (de 0 à 55°C, +/- 0,85 mm/m).</w:t>
      </w:r>
    </w:p>
    <w:p w14:paraId="4311E04C" w14:textId="276D0E0F"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L'ensemble du réseau frigorifique calorifugé séparément par un isolant de 9mm d'épaisseur.</w:t>
      </w:r>
    </w:p>
    <w:p w14:paraId="1FD6A5D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Aucun piège à huile ne sera réalisé sur l'installation. Aucun appoint d'huile ne sera nécessaire quel que soit le volume de réfrigérant mis en œuvre.</w:t>
      </w:r>
    </w:p>
    <w:p w14:paraId="08A507F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br/>
        <w:t>Opérations avant la mise en service</w:t>
      </w:r>
    </w:p>
    <w:p w14:paraId="3E2F66EC" w14:textId="1DC1246D"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L'installation terminée, le réseau seul sera mis sous pression de 38 bars d'azote. Ce test sera réalisé durant 24 heures avec les vannes de l'unité extérieure fermées. Une recherche de fuite sera éventuellement faite.</w:t>
      </w:r>
      <w:r w:rsidRPr="002B78F8">
        <w:rPr>
          <w:rFonts w:ascii="Calibri" w:eastAsia="Times New Roman" w:hAnsi="Calibri" w:cs="Calibri"/>
          <w:color w:val="000000"/>
          <w:kern w:val="0"/>
          <w:sz w:val="20"/>
          <w:szCs w:val="20"/>
          <w14:ligatures w14:val="none"/>
        </w:rPr>
        <w:br/>
        <w:t>L'installation sera soigneusement tirée au vide (12 heures minimum) et laissée au vide jusqu'à la mise en route. Le métré de l'installation sera nécessaire avant la mise en service afin de calculer le complément de charge de réfrigérant éventuel.</w:t>
      </w:r>
      <w:r w:rsidRPr="002B78F8">
        <w:rPr>
          <w:rFonts w:ascii="Calibri" w:eastAsia="Times New Roman" w:hAnsi="Calibri" w:cs="Calibri"/>
          <w:color w:val="000000"/>
          <w:kern w:val="0"/>
          <w:sz w:val="20"/>
          <w:szCs w:val="20"/>
          <w14:ligatures w14:val="none"/>
        </w:rPr>
        <w:br/>
        <w:t>L'unité extérieure sera mise sous tension 12h au minimum avant la mise en service.</w:t>
      </w:r>
    </w:p>
    <w:p w14:paraId="3B8C3D8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0E2257EA"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Assistance technique et mise en service</w:t>
      </w:r>
    </w:p>
    <w:p w14:paraId="569371F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Une fois l'installation terminée et éprouvée, un technicien DAIKIN assurera la mise en service du matériel en présence de l'installateur (frigoriste et/ou électricien).</w:t>
      </w:r>
    </w:p>
    <w:p w14:paraId="7188E9C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2C7D3C3B"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Accords sur plan:</w:t>
      </w:r>
    </w:p>
    <w:p w14:paraId="5B7C5B1B" w14:textId="77777777" w:rsidR="002B78F8" w:rsidRPr="002B78F8" w:rsidRDefault="002B78F8" w:rsidP="002B78F8">
      <w:pPr>
        <w:numPr>
          <w:ilvl w:val="0"/>
          <w:numId w:val="6"/>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Validation des schémas frigorifiques électriques sur plans d'exécution</w:t>
      </w:r>
    </w:p>
    <w:p w14:paraId="4CBFF313" w14:textId="77777777" w:rsidR="002B78F8" w:rsidRPr="002B78F8" w:rsidRDefault="002B78F8" w:rsidP="002B78F8">
      <w:pPr>
        <w:numPr>
          <w:ilvl w:val="0"/>
          <w:numId w:val="6"/>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Rappel des préconisations d'installation DAIKIN</w:t>
      </w:r>
    </w:p>
    <w:p w14:paraId="7ADCF8B0"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 </w:t>
      </w:r>
    </w:p>
    <w:p w14:paraId="0A3D8182"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Assistance technique:</w:t>
      </w:r>
    </w:p>
    <w:p w14:paraId="749E1E95" w14:textId="77777777" w:rsidR="002B78F8" w:rsidRPr="002B78F8" w:rsidRDefault="002B78F8" w:rsidP="002B78F8">
      <w:pPr>
        <w:numPr>
          <w:ilvl w:val="0"/>
          <w:numId w:val="7"/>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Passage sur chantier du Service Technique DAIKIN pour aide et contrôle de l'installation en cours</w:t>
      </w:r>
    </w:p>
    <w:p w14:paraId="7108297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612BDDCC"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Mise en Service:</w:t>
      </w:r>
    </w:p>
    <w:p w14:paraId="6AE8C907"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Contrôle des circuits frigorifiques et électriques</w:t>
      </w:r>
    </w:p>
    <w:p w14:paraId="7F74FD49"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Complément de charge de fluide frigorigène</w:t>
      </w:r>
    </w:p>
    <w:p w14:paraId="4625E184"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Mise en route de l'installation</w:t>
      </w:r>
    </w:p>
    <w:p w14:paraId="3649528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Paramétrages</w:t>
      </w:r>
    </w:p>
    <w:p w14:paraId="35EEF8A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Vérification du bon fonctionnement de l'ensemble</w:t>
      </w:r>
    </w:p>
    <w:p w14:paraId="2BC5033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Conseils d'utilisation des télécommandes</w:t>
      </w:r>
    </w:p>
    <w:p w14:paraId="40184C50"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14:ligatures w14:val="none"/>
        </w:rPr>
        <w:t> </w:t>
      </w:r>
    </w:p>
    <w:p w14:paraId="7F3466E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Visite de mise au point:</w:t>
      </w:r>
    </w:p>
    <w:p w14:paraId="185CEE4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La visite de mise au point sera à réaliser dans les mois suivant la mise en route de l’installation.</w:t>
      </w:r>
    </w:p>
    <w:p w14:paraId="402E20E4"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Cette prestation aura pour but:</w:t>
      </w:r>
    </w:p>
    <w:p w14:paraId="44B09169"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Examen des requêtes de l’utilisateur et de l’installateur</w:t>
      </w:r>
    </w:p>
    <w:p w14:paraId="44C74708"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Ajustement des paramétrages et des programmations en fonction des besoins exprimés</w:t>
      </w:r>
    </w:p>
    <w:p w14:paraId="2BFCC83D"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Conseils sur l’utilisation et la maintenance des équipements</w:t>
      </w:r>
    </w:p>
    <w:p w14:paraId="1B9A86D5"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Vérification du bon fonctionnement de l’installation</w:t>
      </w:r>
    </w:p>
    <w:p w14:paraId="1233557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5662D05B"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Dossier d'exploitation et vérification initiale</w:t>
      </w:r>
    </w:p>
    <w:p w14:paraId="27E0254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Conformément aux obligations du cahier technique professionnel relatif aux systèmes frigorifiques (CTP), une fois la mise en service des différents équipements effectuée, l’installateur devra fournir </w:t>
      </w:r>
      <w:r w:rsidRPr="002B78F8">
        <w:rPr>
          <w:rFonts w:ascii="Times New Roman" w:eastAsia="Times New Roman" w:hAnsi="Times New Roman" w:cs="Times New Roman"/>
          <w:color w:val="000000"/>
          <w:kern w:val="0"/>
          <w:sz w:val="20"/>
          <w:szCs w:val="20"/>
          <w14:ligatures w14:val="none"/>
        </w:rPr>
        <w:t>:</w:t>
      </w:r>
    </w:p>
    <w:p w14:paraId="5D01DB32" w14:textId="77777777" w:rsidR="002B78F8" w:rsidRPr="002B78F8" w:rsidRDefault="002B78F8" w:rsidP="002B78F8">
      <w:pPr>
        <w:numPr>
          <w:ilvl w:val="0"/>
          <w:numId w:val="10"/>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Un dossier d'exploitation par équipement frigorifique composé des deux parties suivantes :</w:t>
      </w:r>
    </w:p>
    <w:p w14:paraId="2B42E9E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    Fabrication (qui reprend les informations relatives a la fabrication de l’équipement)</w:t>
      </w:r>
      <w:r w:rsidRPr="002B78F8">
        <w:rPr>
          <w:rFonts w:ascii="Calibri" w:eastAsia="Times New Roman" w:hAnsi="Calibri" w:cs="Calibri"/>
          <w:color w:val="000000"/>
          <w:kern w:val="0"/>
          <w:sz w:val="20"/>
          <w:szCs w:val="20"/>
          <w14:ligatures w14:val="none"/>
        </w:rPr>
        <w:br/>
        <w:t>                -    Exploitation (qui concerne les informations relatives à l’exploitation de l’équipement)</w:t>
      </w:r>
    </w:p>
    <w:p w14:paraId="4114FDFE" w14:textId="77777777" w:rsidR="002B78F8" w:rsidRPr="002B78F8" w:rsidRDefault="002B78F8" w:rsidP="002B78F8">
      <w:pPr>
        <w:numPr>
          <w:ilvl w:val="0"/>
          <w:numId w:val="11"/>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Le certificat de vérification initiale, réalisée sous la responsabilité de l’exploitant avec l’accompagnement d’un bureau de contrôle ou opérateur agréé.</w:t>
      </w:r>
    </w:p>
    <w:p w14:paraId="5D60CB6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6567BE8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Garantie</w:t>
      </w:r>
    </w:p>
    <w:p w14:paraId="58051CE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L'ensemble de la fourniture DAIKIN bénéficiera d'une garantie pièce de 3 ans et 5 ans pour les compresseurs ainsi que d'une garantie 2 ans main d'œuvre et déplacement (limité au remplacement des pièces sous garantie, hors diagnostic) dans le cadre d'une mise en service réalisée par le constructeur.</w:t>
      </w:r>
    </w:p>
    <w:p w14:paraId="43E1D308" w14:textId="572FCB08" w:rsidR="00450A94" w:rsidRPr="00972543" w:rsidRDefault="002B78F8" w:rsidP="00972543">
      <w:pPr>
        <w:spacing w:line="235" w:lineRule="atLeast"/>
        <w:rPr>
          <w:rFonts w:ascii="Calibri" w:eastAsia="Times New Roman" w:hAnsi="Calibri" w:cs="Calibri"/>
          <w:kern w:val="0"/>
          <w14:ligatures w14:val="none"/>
        </w:rPr>
      </w:pPr>
      <w:r w:rsidRPr="002B78F8">
        <w:rPr>
          <w:rFonts w:ascii="Calibri" w:eastAsia="Times New Roman" w:hAnsi="Calibri" w:cs="Calibri"/>
          <w:kern w:val="0"/>
          <w14:ligatures w14:val="none"/>
        </w:rPr>
        <w:t> </w:t>
      </w:r>
    </w:p>
    <w:sectPr w:rsidR="00450A94" w:rsidRPr="009725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A151D"/>
    <w:multiLevelType w:val="multilevel"/>
    <w:tmpl w:val="65B4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FF37B2"/>
    <w:multiLevelType w:val="multilevel"/>
    <w:tmpl w:val="AF7C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37402F"/>
    <w:multiLevelType w:val="multilevel"/>
    <w:tmpl w:val="2A5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7E1F4C"/>
    <w:multiLevelType w:val="hybridMultilevel"/>
    <w:tmpl w:val="AA3E7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D6702"/>
    <w:multiLevelType w:val="multilevel"/>
    <w:tmpl w:val="F612B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F2B13D2"/>
    <w:multiLevelType w:val="multilevel"/>
    <w:tmpl w:val="10AE4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5B2AE4"/>
    <w:multiLevelType w:val="multilevel"/>
    <w:tmpl w:val="3526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6A7625"/>
    <w:multiLevelType w:val="multilevel"/>
    <w:tmpl w:val="7E2E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EA6B2A"/>
    <w:multiLevelType w:val="multilevel"/>
    <w:tmpl w:val="00A2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3018BF"/>
    <w:multiLevelType w:val="multilevel"/>
    <w:tmpl w:val="3EA0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C947B4"/>
    <w:multiLevelType w:val="multilevel"/>
    <w:tmpl w:val="278C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3F42314"/>
    <w:multiLevelType w:val="multilevel"/>
    <w:tmpl w:val="042A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9FC1735"/>
    <w:multiLevelType w:val="multilevel"/>
    <w:tmpl w:val="FEA2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D921CF0"/>
    <w:multiLevelType w:val="multilevel"/>
    <w:tmpl w:val="B3904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90364377">
    <w:abstractNumId w:val="8"/>
  </w:num>
  <w:num w:numId="2" w16cid:durableId="1505238976">
    <w:abstractNumId w:val="5"/>
  </w:num>
  <w:num w:numId="3" w16cid:durableId="1593314236">
    <w:abstractNumId w:val="4"/>
  </w:num>
  <w:num w:numId="4" w16cid:durableId="177935678">
    <w:abstractNumId w:val="1"/>
  </w:num>
  <w:num w:numId="5" w16cid:durableId="927620263">
    <w:abstractNumId w:val="0"/>
  </w:num>
  <w:num w:numId="6" w16cid:durableId="1237517825">
    <w:abstractNumId w:val="9"/>
  </w:num>
  <w:num w:numId="7" w16cid:durableId="968777002">
    <w:abstractNumId w:val="13"/>
  </w:num>
  <w:num w:numId="8" w16cid:durableId="693700185">
    <w:abstractNumId w:val="10"/>
  </w:num>
  <w:num w:numId="9" w16cid:durableId="1173422504">
    <w:abstractNumId w:val="2"/>
  </w:num>
  <w:num w:numId="10" w16cid:durableId="2027631610">
    <w:abstractNumId w:val="7"/>
  </w:num>
  <w:num w:numId="11" w16cid:durableId="472139309">
    <w:abstractNumId w:val="6"/>
  </w:num>
  <w:num w:numId="12" w16cid:durableId="1239437321">
    <w:abstractNumId w:val="3"/>
  </w:num>
  <w:num w:numId="13" w16cid:durableId="980618453">
    <w:abstractNumId w:val="12"/>
  </w:num>
  <w:num w:numId="14" w16cid:durableId="10481448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8F8"/>
    <w:rsid w:val="00157EF2"/>
    <w:rsid w:val="001E38BD"/>
    <w:rsid w:val="001F05F3"/>
    <w:rsid w:val="002B78F8"/>
    <w:rsid w:val="003B2CE2"/>
    <w:rsid w:val="00416DAF"/>
    <w:rsid w:val="00450A94"/>
    <w:rsid w:val="004B256B"/>
    <w:rsid w:val="004E28FA"/>
    <w:rsid w:val="00614541"/>
    <w:rsid w:val="007B2BF9"/>
    <w:rsid w:val="008544C0"/>
    <w:rsid w:val="009711BD"/>
    <w:rsid w:val="00972543"/>
    <w:rsid w:val="00AA312D"/>
    <w:rsid w:val="00B41262"/>
    <w:rsid w:val="00D941F4"/>
    <w:rsid w:val="00F54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B0D1D"/>
  <w15:chartTrackingRefBased/>
  <w15:docId w15:val="{226157AF-EA40-429B-965E-63E001FC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FR"/>
    </w:rPr>
  </w:style>
  <w:style w:type="paragraph" w:styleId="Titre1">
    <w:name w:val="heading 1"/>
    <w:basedOn w:val="Normal"/>
    <w:next w:val="Normal"/>
    <w:link w:val="Titre1Car"/>
    <w:uiPriority w:val="9"/>
    <w:qFormat/>
    <w:rsid w:val="002B78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B78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B78F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B78F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B78F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B78F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B78F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B78F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B78F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B78F8"/>
    <w:rPr>
      <w:rFonts w:asciiTheme="majorHAnsi" w:eastAsiaTheme="majorEastAsia" w:hAnsiTheme="majorHAnsi" w:cstheme="majorBidi"/>
      <w:color w:val="0F4761" w:themeColor="accent1" w:themeShade="BF"/>
      <w:sz w:val="40"/>
      <w:szCs w:val="40"/>
      <w:lang w:val="fr-FR"/>
    </w:rPr>
  </w:style>
  <w:style w:type="character" w:customStyle="1" w:styleId="Titre2Car">
    <w:name w:val="Titre 2 Car"/>
    <w:basedOn w:val="Policepardfaut"/>
    <w:link w:val="Titre2"/>
    <w:uiPriority w:val="9"/>
    <w:semiHidden/>
    <w:rsid w:val="002B78F8"/>
    <w:rPr>
      <w:rFonts w:asciiTheme="majorHAnsi" w:eastAsiaTheme="majorEastAsia" w:hAnsiTheme="majorHAnsi" w:cstheme="majorBidi"/>
      <w:color w:val="0F4761" w:themeColor="accent1" w:themeShade="BF"/>
      <w:sz w:val="32"/>
      <w:szCs w:val="32"/>
      <w:lang w:val="fr-FR"/>
    </w:rPr>
  </w:style>
  <w:style w:type="character" w:customStyle="1" w:styleId="Titre3Car">
    <w:name w:val="Titre 3 Car"/>
    <w:basedOn w:val="Policepardfaut"/>
    <w:link w:val="Titre3"/>
    <w:uiPriority w:val="9"/>
    <w:semiHidden/>
    <w:rsid w:val="002B78F8"/>
    <w:rPr>
      <w:rFonts w:eastAsiaTheme="majorEastAsia" w:cstheme="majorBidi"/>
      <w:color w:val="0F4761" w:themeColor="accent1" w:themeShade="BF"/>
      <w:sz w:val="28"/>
      <w:szCs w:val="28"/>
      <w:lang w:val="fr-FR"/>
    </w:rPr>
  </w:style>
  <w:style w:type="character" w:customStyle="1" w:styleId="Titre4Car">
    <w:name w:val="Titre 4 Car"/>
    <w:basedOn w:val="Policepardfaut"/>
    <w:link w:val="Titre4"/>
    <w:uiPriority w:val="9"/>
    <w:semiHidden/>
    <w:rsid w:val="002B78F8"/>
    <w:rPr>
      <w:rFonts w:eastAsiaTheme="majorEastAsia" w:cstheme="majorBidi"/>
      <w:i/>
      <w:iCs/>
      <w:color w:val="0F4761" w:themeColor="accent1" w:themeShade="BF"/>
      <w:lang w:val="fr-FR"/>
    </w:rPr>
  </w:style>
  <w:style w:type="character" w:customStyle="1" w:styleId="Titre5Car">
    <w:name w:val="Titre 5 Car"/>
    <w:basedOn w:val="Policepardfaut"/>
    <w:link w:val="Titre5"/>
    <w:uiPriority w:val="9"/>
    <w:semiHidden/>
    <w:rsid w:val="002B78F8"/>
    <w:rPr>
      <w:rFonts w:eastAsiaTheme="majorEastAsia" w:cstheme="majorBidi"/>
      <w:color w:val="0F4761" w:themeColor="accent1" w:themeShade="BF"/>
      <w:lang w:val="fr-FR"/>
    </w:rPr>
  </w:style>
  <w:style w:type="character" w:customStyle="1" w:styleId="Titre6Car">
    <w:name w:val="Titre 6 Car"/>
    <w:basedOn w:val="Policepardfaut"/>
    <w:link w:val="Titre6"/>
    <w:uiPriority w:val="9"/>
    <w:semiHidden/>
    <w:rsid w:val="002B78F8"/>
    <w:rPr>
      <w:rFonts w:eastAsiaTheme="majorEastAsia" w:cstheme="majorBidi"/>
      <w:i/>
      <w:iCs/>
      <w:color w:val="595959" w:themeColor="text1" w:themeTint="A6"/>
      <w:lang w:val="fr-FR"/>
    </w:rPr>
  </w:style>
  <w:style w:type="character" w:customStyle="1" w:styleId="Titre7Car">
    <w:name w:val="Titre 7 Car"/>
    <w:basedOn w:val="Policepardfaut"/>
    <w:link w:val="Titre7"/>
    <w:uiPriority w:val="9"/>
    <w:semiHidden/>
    <w:rsid w:val="002B78F8"/>
    <w:rPr>
      <w:rFonts w:eastAsiaTheme="majorEastAsia" w:cstheme="majorBidi"/>
      <w:color w:val="595959" w:themeColor="text1" w:themeTint="A6"/>
      <w:lang w:val="fr-FR"/>
    </w:rPr>
  </w:style>
  <w:style w:type="character" w:customStyle="1" w:styleId="Titre8Car">
    <w:name w:val="Titre 8 Car"/>
    <w:basedOn w:val="Policepardfaut"/>
    <w:link w:val="Titre8"/>
    <w:uiPriority w:val="9"/>
    <w:semiHidden/>
    <w:rsid w:val="002B78F8"/>
    <w:rPr>
      <w:rFonts w:eastAsiaTheme="majorEastAsia" w:cstheme="majorBidi"/>
      <w:i/>
      <w:iCs/>
      <w:color w:val="272727" w:themeColor="text1" w:themeTint="D8"/>
      <w:lang w:val="fr-FR"/>
    </w:rPr>
  </w:style>
  <w:style w:type="character" w:customStyle="1" w:styleId="Titre9Car">
    <w:name w:val="Titre 9 Car"/>
    <w:basedOn w:val="Policepardfaut"/>
    <w:link w:val="Titre9"/>
    <w:uiPriority w:val="9"/>
    <w:semiHidden/>
    <w:rsid w:val="002B78F8"/>
    <w:rPr>
      <w:rFonts w:eastAsiaTheme="majorEastAsia" w:cstheme="majorBidi"/>
      <w:color w:val="272727" w:themeColor="text1" w:themeTint="D8"/>
      <w:lang w:val="fr-FR"/>
    </w:rPr>
  </w:style>
  <w:style w:type="paragraph" w:styleId="Titre">
    <w:name w:val="Title"/>
    <w:basedOn w:val="Normal"/>
    <w:next w:val="Normal"/>
    <w:link w:val="TitreCar"/>
    <w:uiPriority w:val="10"/>
    <w:qFormat/>
    <w:rsid w:val="002B78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B78F8"/>
    <w:rPr>
      <w:rFonts w:asciiTheme="majorHAnsi" w:eastAsiaTheme="majorEastAsia" w:hAnsiTheme="majorHAnsi" w:cstheme="majorBidi"/>
      <w:spacing w:val="-10"/>
      <w:kern w:val="28"/>
      <w:sz w:val="56"/>
      <w:szCs w:val="56"/>
      <w:lang w:val="fr-FR"/>
    </w:rPr>
  </w:style>
  <w:style w:type="paragraph" w:styleId="Sous-titre">
    <w:name w:val="Subtitle"/>
    <w:basedOn w:val="Normal"/>
    <w:next w:val="Normal"/>
    <w:link w:val="Sous-titreCar"/>
    <w:uiPriority w:val="11"/>
    <w:qFormat/>
    <w:rsid w:val="002B78F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B78F8"/>
    <w:rPr>
      <w:rFonts w:eastAsiaTheme="majorEastAsia" w:cstheme="majorBidi"/>
      <w:color w:val="595959" w:themeColor="text1" w:themeTint="A6"/>
      <w:spacing w:val="15"/>
      <w:sz w:val="28"/>
      <w:szCs w:val="28"/>
      <w:lang w:val="fr-FR"/>
    </w:rPr>
  </w:style>
  <w:style w:type="paragraph" w:styleId="Citation">
    <w:name w:val="Quote"/>
    <w:basedOn w:val="Normal"/>
    <w:next w:val="Normal"/>
    <w:link w:val="CitationCar"/>
    <w:uiPriority w:val="29"/>
    <w:qFormat/>
    <w:rsid w:val="002B78F8"/>
    <w:pPr>
      <w:spacing w:before="160"/>
      <w:jc w:val="center"/>
    </w:pPr>
    <w:rPr>
      <w:i/>
      <w:iCs/>
      <w:color w:val="404040" w:themeColor="text1" w:themeTint="BF"/>
    </w:rPr>
  </w:style>
  <w:style w:type="character" w:customStyle="1" w:styleId="CitationCar">
    <w:name w:val="Citation Car"/>
    <w:basedOn w:val="Policepardfaut"/>
    <w:link w:val="Citation"/>
    <w:uiPriority w:val="29"/>
    <w:rsid w:val="002B78F8"/>
    <w:rPr>
      <w:i/>
      <w:iCs/>
      <w:color w:val="404040" w:themeColor="text1" w:themeTint="BF"/>
      <w:lang w:val="fr-FR"/>
    </w:rPr>
  </w:style>
  <w:style w:type="paragraph" w:styleId="Paragraphedeliste">
    <w:name w:val="List Paragraph"/>
    <w:basedOn w:val="Normal"/>
    <w:uiPriority w:val="34"/>
    <w:qFormat/>
    <w:rsid w:val="002B78F8"/>
    <w:pPr>
      <w:ind w:left="720"/>
      <w:contextualSpacing/>
    </w:pPr>
  </w:style>
  <w:style w:type="character" w:styleId="Accentuationintense">
    <w:name w:val="Intense Emphasis"/>
    <w:basedOn w:val="Policepardfaut"/>
    <w:uiPriority w:val="21"/>
    <w:qFormat/>
    <w:rsid w:val="002B78F8"/>
    <w:rPr>
      <w:i/>
      <w:iCs/>
      <w:color w:val="0F4761" w:themeColor="accent1" w:themeShade="BF"/>
    </w:rPr>
  </w:style>
  <w:style w:type="paragraph" w:styleId="Citationintense">
    <w:name w:val="Intense Quote"/>
    <w:basedOn w:val="Normal"/>
    <w:next w:val="Normal"/>
    <w:link w:val="CitationintenseCar"/>
    <w:uiPriority w:val="30"/>
    <w:qFormat/>
    <w:rsid w:val="002B78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B78F8"/>
    <w:rPr>
      <w:i/>
      <w:iCs/>
      <w:color w:val="0F4761" w:themeColor="accent1" w:themeShade="BF"/>
      <w:lang w:val="fr-FR"/>
    </w:rPr>
  </w:style>
  <w:style w:type="character" w:styleId="Rfrenceintense">
    <w:name w:val="Intense Reference"/>
    <w:basedOn w:val="Policepardfaut"/>
    <w:uiPriority w:val="32"/>
    <w:qFormat/>
    <w:rsid w:val="002B78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854">
      <w:bodyDiv w:val="1"/>
      <w:marLeft w:val="0"/>
      <w:marRight w:val="0"/>
      <w:marTop w:val="0"/>
      <w:marBottom w:val="0"/>
      <w:divBdr>
        <w:top w:val="none" w:sz="0" w:space="0" w:color="auto"/>
        <w:left w:val="none" w:sz="0" w:space="0" w:color="auto"/>
        <w:bottom w:val="none" w:sz="0" w:space="0" w:color="auto"/>
        <w:right w:val="none" w:sz="0" w:space="0" w:color="auto"/>
      </w:divBdr>
    </w:div>
    <w:div w:id="683828476">
      <w:bodyDiv w:val="1"/>
      <w:marLeft w:val="0"/>
      <w:marRight w:val="0"/>
      <w:marTop w:val="0"/>
      <w:marBottom w:val="0"/>
      <w:divBdr>
        <w:top w:val="none" w:sz="0" w:space="0" w:color="auto"/>
        <w:left w:val="none" w:sz="0" w:space="0" w:color="auto"/>
        <w:bottom w:val="none" w:sz="0" w:space="0" w:color="auto"/>
        <w:right w:val="none" w:sz="0" w:space="0" w:color="auto"/>
      </w:divBdr>
    </w:div>
    <w:div w:id="1251964822">
      <w:bodyDiv w:val="1"/>
      <w:marLeft w:val="0"/>
      <w:marRight w:val="0"/>
      <w:marTop w:val="0"/>
      <w:marBottom w:val="0"/>
      <w:divBdr>
        <w:top w:val="none" w:sz="0" w:space="0" w:color="auto"/>
        <w:left w:val="none" w:sz="0" w:space="0" w:color="auto"/>
        <w:bottom w:val="none" w:sz="0" w:space="0" w:color="auto"/>
        <w:right w:val="none" w:sz="0" w:space="0" w:color="auto"/>
      </w:divBdr>
    </w:div>
    <w:div w:id="1318728683">
      <w:bodyDiv w:val="1"/>
      <w:marLeft w:val="0"/>
      <w:marRight w:val="0"/>
      <w:marTop w:val="0"/>
      <w:marBottom w:val="0"/>
      <w:divBdr>
        <w:top w:val="none" w:sz="0" w:space="0" w:color="auto"/>
        <w:left w:val="none" w:sz="0" w:space="0" w:color="auto"/>
        <w:bottom w:val="none" w:sz="0" w:space="0" w:color="auto"/>
        <w:right w:val="none" w:sz="0" w:space="0" w:color="auto"/>
      </w:divBdr>
    </w:div>
    <w:div w:id="1542547807">
      <w:bodyDiv w:val="1"/>
      <w:marLeft w:val="0"/>
      <w:marRight w:val="0"/>
      <w:marTop w:val="0"/>
      <w:marBottom w:val="0"/>
      <w:divBdr>
        <w:top w:val="none" w:sz="0" w:space="0" w:color="auto"/>
        <w:left w:val="none" w:sz="0" w:space="0" w:color="auto"/>
        <w:bottom w:val="none" w:sz="0" w:space="0" w:color="auto"/>
        <w:right w:val="none" w:sz="0" w:space="0" w:color="auto"/>
      </w:divBdr>
      <w:divsChild>
        <w:div w:id="1878152193">
          <w:marLeft w:val="0"/>
          <w:marRight w:val="0"/>
          <w:marTop w:val="0"/>
          <w:marBottom w:val="0"/>
          <w:divBdr>
            <w:top w:val="none" w:sz="0" w:space="0" w:color="auto"/>
            <w:left w:val="none" w:sz="0" w:space="0" w:color="auto"/>
            <w:bottom w:val="none" w:sz="0" w:space="0" w:color="auto"/>
            <w:right w:val="none" w:sz="0" w:space="0" w:color="auto"/>
          </w:divBdr>
        </w:div>
        <w:div w:id="1297949387">
          <w:marLeft w:val="0"/>
          <w:marRight w:val="0"/>
          <w:marTop w:val="0"/>
          <w:marBottom w:val="0"/>
          <w:divBdr>
            <w:top w:val="none" w:sz="0" w:space="0" w:color="auto"/>
            <w:left w:val="none" w:sz="0" w:space="0" w:color="auto"/>
            <w:bottom w:val="none" w:sz="0" w:space="0" w:color="auto"/>
            <w:right w:val="none" w:sz="0" w:space="0" w:color="auto"/>
          </w:divBdr>
        </w:div>
        <w:div w:id="1507862830">
          <w:marLeft w:val="0"/>
          <w:marRight w:val="0"/>
          <w:marTop w:val="0"/>
          <w:marBottom w:val="0"/>
          <w:divBdr>
            <w:top w:val="none" w:sz="0" w:space="0" w:color="auto"/>
            <w:left w:val="none" w:sz="0" w:space="0" w:color="auto"/>
            <w:bottom w:val="none" w:sz="0" w:space="0" w:color="auto"/>
            <w:right w:val="none" w:sz="0" w:space="0" w:color="auto"/>
          </w:divBdr>
        </w:div>
        <w:div w:id="2119525876">
          <w:marLeft w:val="0"/>
          <w:marRight w:val="0"/>
          <w:marTop w:val="0"/>
          <w:marBottom w:val="0"/>
          <w:divBdr>
            <w:top w:val="none" w:sz="0" w:space="0" w:color="auto"/>
            <w:left w:val="none" w:sz="0" w:space="0" w:color="auto"/>
            <w:bottom w:val="none" w:sz="0" w:space="0" w:color="auto"/>
            <w:right w:val="none" w:sz="0" w:space="0" w:color="auto"/>
          </w:divBdr>
        </w:div>
        <w:div w:id="1653824571">
          <w:marLeft w:val="0"/>
          <w:marRight w:val="0"/>
          <w:marTop w:val="0"/>
          <w:marBottom w:val="0"/>
          <w:divBdr>
            <w:top w:val="none" w:sz="0" w:space="0" w:color="auto"/>
            <w:left w:val="none" w:sz="0" w:space="0" w:color="auto"/>
            <w:bottom w:val="none" w:sz="0" w:space="0" w:color="auto"/>
            <w:right w:val="none" w:sz="0" w:space="0" w:color="auto"/>
          </w:divBdr>
        </w:div>
      </w:divsChild>
    </w:div>
    <w:div w:id="165421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2470</Words>
  <Characters>14085</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Daikin Europe</Company>
  <LinksUpToDate>false</LinksUpToDate>
  <CharactersWithSpaces>16522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15</cp:revision>
  <dcterms:created xsi:type="dcterms:W3CDTF">2025-07-24T11:24:00Z</dcterms:created>
  <dcterms:modified xsi:type="dcterms:W3CDTF">2025-07-24T11:53:00Z</dcterms:modified>
</cp:coreProperties>
</file>